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FORM 8-K</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7"/>
          </w:tcPr>
          <w:p>
            <w:pPr>
              <w:jc w:val="center"/>
              <w:ind w:right="1100"/>
              <w:spacing w:after="0"/>
              <w:rPr>
                <w:sz w:val="20"/>
                <w:szCs w:val="20"/>
                <w:color w:val="auto"/>
              </w:rPr>
            </w:pPr>
            <w:r>
              <w:rPr>
                <w:rFonts w:ascii="Arial" w:cs="Arial" w:eastAsia="Arial" w:hAnsi="Arial"/>
                <w:sz w:val="18"/>
                <w:szCs w:val="18"/>
                <w:color w:val="auto"/>
                <w:w w:val="91"/>
              </w:rPr>
              <w:t>Date of Report (Date of Earliest Event Reported):</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20" w:type="dxa"/>
            <w:vAlign w:val="bottom"/>
            <w:gridSpan w:val="2"/>
          </w:tcPr>
          <w:p>
            <w:pPr>
              <w:ind w:left="240"/>
              <w:spacing w:after="0"/>
              <w:rPr>
                <w:sz w:val="20"/>
                <w:szCs w:val="20"/>
                <w:color w:val="auto"/>
              </w:rPr>
            </w:pPr>
            <w:r>
              <w:rPr>
                <w:rFonts w:ascii="Arial" w:cs="Arial" w:eastAsia="Arial" w:hAnsi="Arial"/>
                <w:sz w:val="18"/>
                <w:szCs w:val="18"/>
                <w:color w:val="auto"/>
              </w:rPr>
              <w:t>March 23, 2020</w:t>
            </w:r>
          </w:p>
        </w:tc>
      </w:tr>
      <w:tr>
        <w:trPr>
          <w:trHeight w:val="738"/>
        </w:trPr>
        <w:tc>
          <w:tcPr>
            <w:tcW w:w="11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gridSpan w:val="6"/>
          </w:tcPr>
          <w:p>
            <w:pPr>
              <w:jc w:val="center"/>
              <w:ind w:right="1280"/>
              <w:spacing w:after="0"/>
              <w:rPr>
                <w:sz w:val="20"/>
                <w:szCs w:val="20"/>
                <w:color w:val="auto"/>
              </w:rPr>
            </w:pPr>
            <w:r>
              <w:rPr>
                <w:rFonts w:ascii="Arial" w:cs="Arial" w:eastAsia="Arial" w:hAnsi="Arial"/>
                <w:sz w:val="43"/>
                <w:szCs w:val="43"/>
                <w:color w:val="auto"/>
                <w:w w:val="91"/>
              </w:rPr>
              <w:t>Cohu, Inc.</w:t>
            </w:r>
          </w:p>
        </w:tc>
        <w:tc>
          <w:tcPr>
            <w:tcW w:w="2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8"/>
        </w:trPr>
        <w:tc>
          <w:tcPr>
            <w:tcW w:w="11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2"/>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480"/>
        </w:trPr>
        <w:tc>
          <w:tcPr>
            <w:tcW w:w="11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200" w:type="dxa"/>
            <w:vAlign w:val="bottom"/>
            <w:gridSpan w:val="11"/>
          </w:tcPr>
          <w:p>
            <w:pPr>
              <w:jc w:val="center"/>
              <w:ind w:right="200"/>
              <w:spacing w:after="0"/>
              <w:rPr>
                <w:sz w:val="20"/>
                <w:szCs w:val="20"/>
                <w:color w:val="auto"/>
              </w:rPr>
            </w:pPr>
            <w:r>
              <w:rPr>
                <w:rFonts w:ascii="Arial" w:cs="Arial" w:eastAsia="Arial" w:hAnsi="Arial"/>
                <w:sz w:val="18"/>
                <w:szCs w:val="18"/>
                <w:color w:val="auto"/>
                <w:w w:val="90"/>
              </w:rPr>
              <w:t>(Exact name of registrant as specified in its charter)</w:t>
            </w:r>
          </w:p>
        </w:tc>
        <w:tc>
          <w:tcPr>
            <w:tcW w:w="2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3560" w:type="dxa"/>
            <w:vAlign w:val="bottom"/>
            <w:gridSpan w:val="6"/>
          </w:tcPr>
          <w:p>
            <w:pPr>
              <w:jc w:val="center"/>
              <w:ind w:right="740"/>
              <w:spacing w:after="0"/>
              <w:rPr>
                <w:sz w:val="20"/>
                <w:szCs w:val="20"/>
                <w:color w:val="auto"/>
              </w:rPr>
            </w:pPr>
            <w:r>
              <w:rPr>
                <w:rFonts w:ascii="Arial" w:cs="Arial" w:eastAsia="Arial" w:hAnsi="Arial"/>
                <w:sz w:val="18"/>
                <w:szCs w:val="18"/>
                <w:color w:val="auto"/>
                <w:w w:val="92"/>
              </w:rPr>
              <w:t>Delaware</w:t>
            </w:r>
          </w:p>
        </w:tc>
        <w:tc>
          <w:tcPr>
            <w:tcW w:w="2060" w:type="dxa"/>
            <w:vAlign w:val="bottom"/>
          </w:tcPr>
          <w:p>
            <w:pPr>
              <w:jc w:val="center"/>
              <w:ind w:right="92"/>
              <w:spacing w:after="0"/>
              <w:rPr>
                <w:sz w:val="20"/>
                <w:szCs w:val="20"/>
                <w:color w:val="auto"/>
              </w:rPr>
            </w:pPr>
            <w:r>
              <w:rPr>
                <w:rFonts w:ascii="Arial" w:cs="Arial" w:eastAsia="Arial" w:hAnsi="Arial"/>
                <w:sz w:val="18"/>
                <w:szCs w:val="18"/>
                <w:color w:val="auto"/>
                <w:w w:val="90"/>
              </w:rPr>
              <w:t>001-04298</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00" w:type="dxa"/>
            <w:vAlign w:val="bottom"/>
          </w:tcPr>
          <w:p>
            <w:pPr>
              <w:jc w:val="right"/>
              <w:ind w:right="890"/>
              <w:spacing w:after="0"/>
              <w:rPr>
                <w:sz w:val="20"/>
                <w:szCs w:val="20"/>
                <w:color w:val="auto"/>
              </w:rPr>
            </w:pPr>
            <w:r>
              <w:rPr>
                <w:rFonts w:ascii="Arial" w:cs="Arial" w:eastAsia="Arial" w:hAnsi="Arial"/>
                <w:sz w:val="18"/>
                <w:szCs w:val="18"/>
                <w:color w:val="auto"/>
              </w:rPr>
              <w:t>95-1934119</w:t>
            </w:r>
          </w:p>
        </w:tc>
        <w:tc>
          <w:tcPr>
            <w:tcW w:w="1120" w:type="dxa"/>
            <w:vAlign w:val="bottom"/>
          </w:tcPr>
          <w:p>
            <w:pPr>
              <w:spacing w:after="0"/>
              <w:rPr>
                <w:sz w:val="24"/>
                <w:szCs w:val="24"/>
                <w:color w:val="auto"/>
              </w:rPr>
            </w:pPr>
          </w:p>
        </w:tc>
      </w:tr>
      <w:tr>
        <w:trPr>
          <w:trHeight w:val="195"/>
        </w:trPr>
        <w:tc>
          <w:tcPr>
            <w:tcW w:w="1140" w:type="dxa"/>
            <w:vAlign w:val="bottom"/>
          </w:tcPr>
          <w:p>
            <w:pPr>
              <w:spacing w:after="0"/>
              <w:rPr>
                <w:sz w:val="16"/>
                <w:szCs w:val="16"/>
                <w:color w:val="auto"/>
              </w:rPr>
            </w:pPr>
          </w:p>
        </w:tc>
        <w:tc>
          <w:tcPr>
            <w:tcW w:w="2820" w:type="dxa"/>
            <w:vAlign w:val="bottom"/>
            <w:tcBorders>
              <w:top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2"/>
              </w:rPr>
              <w:t>(State or other jurisdiction</w:t>
            </w:r>
          </w:p>
        </w:tc>
        <w:tc>
          <w:tcPr>
            <w:tcW w:w="560" w:type="dxa"/>
            <w:vAlign w:val="bottom"/>
            <w:gridSpan w:val="2"/>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60" w:type="dxa"/>
            <w:vAlign w:val="bottom"/>
            <w:tcBorders>
              <w:top w:val="single" w:sz="8" w:color="auto"/>
            </w:tcBorders>
          </w:tcPr>
          <w:p>
            <w:pPr>
              <w:jc w:val="center"/>
              <w:ind w:right="72"/>
              <w:spacing w:after="0" w:line="195" w:lineRule="exact"/>
              <w:rPr>
                <w:sz w:val="20"/>
                <w:szCs w:val="20"/>
                <w:color w:val="auto"/>
              </w:rPr>
            </w:pPr>
            <w:r>
              <w:rPr>
                <w:rFonts w:ascii="Arial" w:cs="Arial" w:eastAsia="Arial" w:hAnsi="Arial"/>
                <w:sz w:val="18"/>
                <w:szCs w:val="18"/>
                <w:color w:val="auto"/>
                <w:w w:val="91"/>
              </w:rPr>
              <w:t>(Commission</w:t>
            </w:r>
          </w:p>
        </w:tc>
        <w:tc>
          <w:tcPr>
            <w:tcW w:w="560" w:type="dxa"/>
            <w:vAlign w:val="bottom"/>
            <w:gridSpan w:val="2"/>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tcPr>
          <w:p>
            <w:pPr>
              <w:jc w:val="center"/>
              <w:ind w:right="410"/>
              <w:spacing w:after="0" w:line="195" w:lineRule="exact"/>
              <w:rPr>
                <w:sz w:val="20"/>
                <w:szCs w:val="20"/>
                <w:color w:val="auto"/>
              </w:rPr>
            </w:pPr>
            <w:r>
              <w:rPr>
                <w:rFonts w:ascii="Arial" w:cs="Arial" w:eastAsia="Arial" w:hAnsi="Arial"/>
                <w:sz w:val="18"/>
                <w:szCs w:val="18"/>
                <w:color w:val="auto"/>
                <w:w w:val="93"/>
              </w:rPr>
              <w:t>(I.R.S. Employer</w:t>
            </w:r>
          </w:p>
        </w:tc>
        <w:tc>
          <w:tcPr>
            <w:tcW w:w="1120" w:type="dxa"/>
            <w:vAlign w:val="bottom"/>
          </w:tcPr>
          <w:p>
            <w:pPr>
              <w:spacing w:after="0"/>
              <w:rPr>
                <w:sz w:val="16"/>
                <w:szCs w:val="16"/>
                <w:color w:val="auto"/>
              </w:rPr>
            </w:pPr>
          </w:p>
        </w:tc>
      </w:tr>
      <w:tr>
        <w:trPr>
          <w:trHeight w:val="230"/>
        </w:trPr>
        <w:tc>
          <w:tcPr>
            <w:tcW w:w="1140" w:type="dxa"/>
            <w:vAlign w:val="bottom"/>
          </w:tcPr>
          <w:p>
            <w:pPr>
              <w:spacing w:after="0"/>
              <w:rPr>
                <w:sz w:val="20"/>
                <w:szCs w:val="20"/>
                <w:color w:val="auto"/>
              </w:rPr>
            </w:pPr>
          </w:p>
        </w:tc>
        <w:tc>
          <w:tcPr>
            <w:tcW w:w="3560" w:type="dxa"/>
            <w:vAlign w:val="bottom"/>
            <w:gridSpan w:val="6"/>
          </w:tcPr>
          <w:p>
            <w:pPr>
              <w:jc w:val="center"/>
              <w:ind w:right="740"/>
              <w:spacing w:after="0"/>
              <w:rPr>
                <w:sz w:val="20"/>
                <w:szCs w:val="20"/>
                <w:color w:val="auto"/>
              </w:rPr>
            </w:pPr>
            <w:r>
              <w:rPr>
                <w:rFonts w:ascii="Arial" w:cs="Arial" w:eastAsia="Arial" w:hAnsi="Arial"/>
                <w:sz w:val="18"/>
                <w:szCs w:val="18"/>
                <w:color w:val="auto"/>
                <w:w w:val="93"/>
              </w:rPr>
              <w:t>of incorporation)</w:t>
            </w:r>
          </w:p>
        </w:tc>
        <w:tc>
          <w:tcPr>
            <w:tcW w:w="3120" w:type="dxa"/>
            <w:vAlign w:val="bottom"/>
            <w:gridSpan w:val="6"/>
          </w:tcPr>
          <w:p>
            <w:pPr>
              <w:jc w:val="center"/>
              <w:ind w:right="1240"/>
              <w:spacing w:after="0"/>
              <w:rPr>
                <w:sz w:val="20"/>
                <w:szCs w:val="20"/>
                <w:color w:val="auto"/>
              </w:rPr>
            </w:pPr>
            <w:r>
              <w:rPr>
                <w:rFonts w:ascii="Arial" w:cs="Arial" w:eastAsia="Arial" w:hAnsi="Arial"/>
                <w:sz w:val="18"/>
                <w:szCs w:val="18"/>
                <w:color w:val="auto"/>
                <w:w w:val="92"/>
              </w:rPr>
              <w:t>File Number)</w:t>
            </w:r>
          </w:p>
        </w:tc>
        <w:tc>
          <w:tcPr>
            <w:tcW w:w="3420" w:type="dxa"/>
            <w:vAlign w:val="bottom"/>
            <w:gridSpan w:val="2"/>
          </w:tcPr>
          <w:p>
            <w:pPr>
              <w:jc w:val="center"/>
              <w:ind w:right="164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1140" w:type="dxa"/>
            <w:vAlign w:val="bottom"/>
          </w:tcPr>
          <w:p>
            <w:pPr>
              <w:spacing w:after="0"/>
              <w:rPr>
                <w:sz w:val="24"/>
                <w:szCs w:val="24"/>
                <w:color w:val="auto"/>
              </w:rPr>
            </w:pPr>
          </w:p>
        </w:tc>
        <w:tc>
          <w:tcPr>
            <w:tcW w:w="3560" w:type="dxa"/>
            <w:vAlign w:val="bottom"/>
            <w:gridSpan w:val="6"/>
          </w:tcPr>
          <w:p>
            <w:pPr>
              <w:jc w:val="center"/>
              <w:ind w:right="740"/>
              <w:spacing w:after="0"/>
              <w:rPr>
                <w:sz w:val="20"/>
                <w:szCs w:val="20"/>
                <w:color w:val="auto"/>
              </w:rPr>
            </w:pPr>
            <w:r>
              <w:rPr>
                <w:rFonts w:ascii="Arial" w:cs="Arial" w:eastAsia="Arial" w:hAnsi="Arial"/>
                <w:sz w:val="18"/>
                <w:szCs w:val="18"/>
                <w:color w:val="auto"/>
                <w:w w:val="91"/>
              </w:rPr>
              <w:t>12367 Crosthwaite Circle, Poway,</w:t>
            </w:r>
          </w:p>
        </w:tc>
        <w:tc>
          <w:tcPr>
            <w:tcW w:w="2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00" w:type="dxa"/>
            <w:vAlign w:val="bottom"/>
          </w:tcPr>
          <w:p>
            <w:pPr>
              <w:jc w:val="right"/>
              <w:ind w:right="1090"/>
              <w:spacing w:after="0"/>
              <w:rPr>
                <w:sz w:val="20"/>
                <w:szCs w:val="20"/>
                <w:color w:val="auto"/>
              </w:rPr>
            </w:pPr>
            <w:r>
              <w:rPr>
                <w:rFonts w:ascii="Arial" w:cs="Arial" w:eastAsia="Arial" w:hAnsi="Arial"/>
                <w:sz w:val="18"/>
                <w:szCs w:val="18"/>
                <w:color w:val="auto"/>
              </w:rPr>
              <w:t>92064</w:t>
            </w:r>
          </w:p>
        </w:tc>
        <w:tc>
          <w:tcPr>
            <w:tcW w:w="112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3560" w:type="dxa"/>
            <w:vAlign w:val="bottom"/>
            <w:gridSpan w:val="6"/>
          </w:tcPr>
          <w:p>
            <w:pPr>
              <w:jc w:val="center"/>
              <w:ind w:right="740"/>
              <w:spacing w:after="0"/>
              <w:rPr>
                <w:sz w:val="20"/>
                <w:szCs w:val="20"/>
                <w:color w:val="auto"/>
              </w:rPr>
            </w:pPr>
            <w:r>
              <w:rPr>
                <w:rFonts w:ascii="Arial" w:cs="Arial" w:eastAsia="Arial" w:hAnsi="Arial"/>
                <w:sz w:val="18"/>
                <w:szCs w:val="18"/>
                <w:color w:val="auto"/>
                <w:w w:val="97"/>
              </w:rPr>
              <w:t>California</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195"/>
        </w:trPr>
        <w:tc>
          <w:tcPr>
            <w:tcW w:w="1140" w:type="dxa"/>
            <w:vAlign w:val="bottom"/>
          </w:tcPr>
          <w:p>
            <w:pPr>
              <w:spacing w:after="0"/>
              <w:rPr>
                <w:sz w:val="16"/>
                <w:szCs w:val="16"/>
                <w:color w:val="auto"/>
              </w:rPr>
            </w:pPr>
          </w:p>
        </w:tc>
        <w:tc>
          <w:tcPr>
            <w:tcW w:w="2820" w:type="dxa"/>
            <w:vAlign w:val="bottom"/>
            <w:tcBorders>
              <w:top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2"/>
              </w:rPr>
              <w:t>(Address of principal executive</w:t>
            </w:r>
          </w:p>
        </w:tc>
        <w:tc>
          <w:tcPr>
            <w:tcW w:w="740" w:type="dxa"/>
            <w:vAlign w:val="bottom"/>
            <w:gridSpan w:val="3"/>
          </w:tcPr>
          <w:p>
            <w:pPr>
              <w:spacing w:after="0"/>
              <w:rPr>
                <w:sz w:val="16"/>
                <w:szCs w:val="16"/>
                <w:color w:val="auto"/>
              </w:rPr>
            </w:pPr>
          </w:p>
        </w:tc>
        <w:tc>
          <w:tcPr>
            <w:tcW w:w="2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tcPr>
          <w:p>
            <w:pPr>
              <w:jc w:val="center"/>
              <w:ind w:right="410"/>
              <w:spacing w:after="0" w:line="195" w:lineRule="exact"/>
              <w:rPr>
                <w:sz w:val="20"/>
                <w:szCs w:val="20"/>
                <w:color w:val="auto"/>
              </w:rPr>
            </w:pPr>
            <w:r>
              <w:rPr>
                <w:rFonts w:ascii="Arial" w:cs="Arial" w:eastAsia="Arial" w:hAnsi="Arial"/>
                <w:sz w:val="18"/>
                <w:szCs w:val="18"/>
                <w:color w:val="auto"/>
                <w:w w:val="94"/>
              </w:rPr>
              <w:t>(Zip Code)</w:t>
            </w:r>
          </w:p>
        </w:tc>
        <w:tc>
          <w:tcPr>
            <w:tcW w:w="1120" w:type="dxa"/>
            <w:vAlign w:val="bottom"/>
          </w:tcPr>
          <w:p>
            <w:pPr>
              <w:spacing w:after="0"/>
              <w:rPr>
                <w:sz w:val="16"/>
                <w:szCs w:val="16"/>
                <w:color w:val="auto"/>
              </w:rPr>
            </w:pPr>
          </w:p>
        </w:tc>
      </w:tr>
      <w:tr>
        <w:trPr>
          <w:trHeight w:val="230"/>
        </w:trPr>
        <w:tc>
          <w:tcPr>
            <w:tcW w:w="1140" w:type="dxa"/>
            <w:vAlign w:val="bottom"/>
          </w:tcPr>
          <w:p>
            <w:pPr>
              <w:spacing w:after="0"/>
              <w:rPr>
                <w:sz w:val="20"/>
                <w:szCs w:val="20"/>
                <w:color w:val="auto"/>
              </w:rPr>
            </w:pPr>
          </w:p>
        </w:tc>
        <w:tc>
          <w:tcPr>
            <w:tcW w:w="3560" w:type="dxa"/>
            <w:vAlign w:val="bottom"/>
            <w:gridSpan w:val="6"/>
          </w:tcPr>
          <w:p>
            <w:pPr>
              <w:jc w:val="center"/>
              <w:ind w:right="740"/>
              <w:spacing w:after="0"/>
              <w:rPr>
                <w:sz w:val="20"/>
                <w:szCs w:val="20"/>
                <w:color w:val="auto"/>
              </w:rPr>
            </w:pPr>
            <w:r>
              <w:rPr>
                <w:rFonts w:ascii="Arial" w:cs="Arial" w:eastAsia="Arial" w:hAnsi="Arial"/>
                <w:sz w:val="18"/>
                <w:szCs w:val="18"/>
                <w:color w:val="auto"/>
                <w:w w:val="92"/>
              </w:rPr>
              <w:t>offices)</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4700" w:type="dxa"/>
            <w:vAlign w:val="bottom"/>
            <w:gridSpan w:val="7"/>
          </w:tcPr>
          <w:p>
            <w:pPr>
              <w:ind w:left="940"/>
              <w:spacing w:after="0"/>
              <w:rPr>
                <w:sz w:val="20"/>
                <w:szCs w:val="20"/>
                <w:color w:val="auto"/>
              </w:rPr>
            </w:pPr>
            <w:r>
              <w:rPr>
                <w:rFonts w:ascii="Arial" w:cs="Arial" w:eastAsia="Arial" w:hAnsi="Arial"/>
                <w:sz w:val="18"/>
                <w:szCs w:val="18"/>
                <w:color w:val="auto"/>
                <w:w w:val="89"/>
              </w:rPr>
              <w:t>Registrant’s telephone number, including area code:</w:t>
            </w:r>
          </w:p>
        </w:tc>
        <w:tc>
          <w:tcPr>
            <w:tcW w:w="2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00" w:type="dxa"/>
            <w:vAlign w:val="bottom"/>
          </w:tcPr>
          <w:p>
            <w:pPr>
              <w:jc w:val="right"/>
              <w:ind w:right="1050"/>
              <w:spacing w:after="0"/>
              <w:rPr>
                <w:sz w:val="20"/>
                <w:szCs w:val="20"/>
                <w:color w:val="auto"/>
              </w:rPr>
            </w:pPr>
            <w:r>
              <w:rPr>
                <w:rFonts w:ascii="Arial" w:cs="Arial" w:eastAsia="Arial" w:hAnsi="Arial"/>
                <w:sz w:val="18"/>
                <w:szCs w:val="18"/>
                <w:color w:val="auto"/>
              </w:rPr>
              <w:t>858-848-8100</w:t>
            </w:r>
          </w:p>
        </w:tc>
        <w:tc>
          <w:tcPr>
            <w:tcW w:w="112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gridSpan w:val="6"/>
          </w:tcPr>
          <w:p>
            <w:pPr>
              <w:jc w:val="center"/>
              <w:ind w:right="1260"/>
              <w:spacing w:after="0"/>
              <w:rPr>
                <w:sz w:val="20"/>
                <w:szCs w:val="20"/>
                <w:color w:val="auto"/>
              </w:rPr>
            </w:pPr>
            <w:r>
              <w:rPr>
                <w:rFonts w:ascii="Arial" w:cs="Arial" w:eastAsia="Arial" w:hAnsi="Arial"/>
                <w:sz w:val="18"/>
                <w:szCs w:val="18"/>
                <w:color w:val="auto"/>
                <w:w w:val="94"/>
              </w:rPr>
              <w:t>Not Applicable</w:t>
            </w:r>
          </w:p>
        </w:tc>
        <w:tc>
          <w:tcPr>
            <w:tcW w:w="2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4"/>
        </w:trPr>
        <w:tc>
          <w:tcPr>
            <w:tcW w:w="1140" w:type="dxa"/>
            <w:vAlign w:val="bottom"/>
          </w:tcPr>
          <w:p>
            <w:pPr>
              <w:spacing w:after="0"/>
              <w:rPr>
                <w:sz w:val="4"/>
                <w:szCs w:val="4"/>
                <w:color w:val="auto"/>
              </w:rPr>
            </w:pPr>
          </w:p>
        </w:tc>
        <w:tc>
          <w:tcPr>
            <w:tcW w:w="2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gridSpan w:val="2"/>
          </w:tcPr>
          <w:p>
            <w:pPr>
              <w:spacing w:after="0"/>
              <w:rPr>
                <w:sz w:val="4"/>
                <w:szCs w:val="4"/>
                <w:color w:val="auto"/>
              </w:rPr>
            </w:pPr>
          </w:p>
        </w:tc>
        <w:tc>
          <w:tcPr>
            <w:tcW w:w="2800" w:type="dxa"/>
            <w:vAlign w:val="bottom"/>
            <w:tcBorders>
              <w:bottom w:val="single" w:sz="8" w:color="auto"/>
            </w:tcBorders>
            <w:gridSpan w:val="4"/>
          </w:tcPr>
          <w:p>
            <w:pPr>
              <w:spacing w:after="0"/>
              <w:rPr>
                <w:sz w:val="4"/>
                <w:szCs w:val="4"/>
                <w:color w:val="auto"/>
              </w:rPr>
            </w:pPr>
          </w:p>
        </w:tc>
        <w:tc>
          <w:tcPr>
            <w:tcW w:w="42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304"/>
        </w:trPr>
        <w:tc>
          <w:tcPr>
            <w:tcW w:w="1140" w:type="dxa"/>
            <w:vAlign w:val="bottom"/>
          </w:tcPr>
          <w:p>
            <w:pPr>
              <w:spacing w:after="0"/>
              <w:rPr>
                <w:sz w:val="24"/>
                <w:szCs w:val="24"/>
                <w:color w:val="auto"/>
              </w:rPr>
            </w:pPr>
          </w:p>
        </w:tc>
        <w:tc>
          <w:tcPr>
            <w:tcW w:w="6680" w:type="dxa"/>
            <w:vAlign w:val="bottom"/>
            <w:gridSpan w:val="12"/>
          </w:tcPr>
          <w:p>
            <w:pPr>
              <w:jc w:val="center"/>
              <w:ind w:left="221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2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2"/>
        </w:trPr>
        <w:tc>
          <w:tcPr>
            <w:tcW w:w="4700" w:type="dxa"/>
            <w:vAlign w:val="bottom"/>
            <w:gridSpan w:val="7"/>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3560" w:type="dxa"/>
            <w:vAlign w:val="bottom"/>
            <w:gridSpan w:val="6"/>
          </w:tcPr>
          <w:p>
            <w:pPr>
              <w:jc w:val="center"/>
              <w:ind w:right="2220"/>
              <w:spacing w:after="0"/>
              <w:rPr>
                <w:sz w:val="20"/>
                <w:szCs w:val="20"/>
                <w:color w:val="auto"/>
              </w:rPr>
            </w:pPr>
            <w:r>
              <w:rPr>
                <w:rFonts w:ascii="Arial" w:cs="Arial" w:eastAsia="Arial" w:hAnsi="Arial"/>
                <w:sz w:val="18"/>
                <w:szCs w:val="18"/>
                <w:color w:val="auto"/>
                <w:w w:val="90"/>
              </w:rPr>
              <w:t>Title of each class</w:t>
            </w:r>
          </w:p>
        </w:tc>
        <w:tc>
          <w:tcPr>
            <w:tcW w:w="3120" w:type="dxa"/>
            <w:vAlign w:val="bottom"/>
            <w:gridSpan w:val="6"/>
          </w:tcPr>
          <w:p>
            <w:pPr>
              <w:jc w:val="center"/>
              <w:ind w:right="1240"/>
              <w:spacing w:after="0"/>
              <w:rPr>
                <w:sz w:val="20"/>
                <w:szCs w:val="20"/>
                <w:color w:val="auto"/>
              </w:rPr>
            </w:pPr>
            <w:r>
              <w:rPr>
                <w:rFonts w:ascii="Arial" w:cs="Arial" w:eastAsia="Arial" w:hAnsi="Arial"/>
                <w:sz w:val="18"/>
                <w:szCs w:val="18"/>
                <w:color w:val="auto"/>
                <w:w w:val="92"/>
              </w:rPr>
              <w:t>Trading Symbol(s)</w:t>
            </w:r>
          </w:p>
        </w:tc>
        <w:tc>
          <w:tcPr>
            <w:tcW w:w="34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36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Common Stock, $1.00 par value</w:t>
            </w:r>
          </w:p>
        </w:tc>
        <w:tc>
          <w:tcPr>
            <w:tcW w:w="220" w:type="dxa"/>
            <w:vAlign w:val="bottom"/>
          </w:tcPr>
          <w:p>
            <w:pPr>
              <w:spacing w:after="0"/>
              <w:rPr>
                <w:sz w:val="19"/>
                <w:szCs w:val="19"/>
                <w:color w:val="auto"/>
              </w:rPr>
            </w:pPr>
          </w:p>
        </w:tc>
        <w:tc>
          <w:tcPr>
            <w:tcW w:w="860" w:type="dxa"/>
            <w:vAlign w:val="bottom"/>
            <w:tcBorders>
              <w:top w:val="single" w:sz="8" w:color="auto"/>
            </w:tcBorders>
            <w:gridSpan w:val="4"/>
          </w:tcPr>
          <w:p>
            <w:pPr>
              <w:spacing w:after="0"/>
              <w:rPr>
                <w:sz w:val="19"/>
                <w:szCs w:val="19"/>
                <w:color w:val="auto"/>
              </w:rPr>
            </w:pPr>
          </w:p>
        </w:tc>
        <w:tc>
          <w:tcPr>
            <w:tcW w:w="2740" w:type="dxa"/>
            <w:vAlign w:val="bottom"/>
            <w:tcBorders>
              <w:top w:val="single" w:sz="8" w:color="auto"/>
            </w:tcBorders>
            <w:gridSpan w:val="4"/>
          </w:tcPr>
          <w:p>
            <w:pPr>
              <w:jc w:val="center"/>
              <w:ind w:right="860"/>
              <w:spacing w:after="0"/>
              <w:rPr>
                <w:sz w:val="20"/>
                <w:szCs w:val="20"/>
                <w:color w:val="auto"/>
              </w:rPr>
            </w:pPr>
            <w:r>
              <w:rPr>
                <w:rFonts w:ascii="Arial" w:cs="Arial" w:eastAsia="Arial" w:hAnsi="Arial"/>
                <w:sz w:val="18"/>
                <w:szCs w:val="18"/>
                <w:color w:val="auto"/>
                <w:w w:val="98"/>
              </w:rPr>
              <w:t>COHU</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42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8"/>
                <w:szCs w:val="18"/>
                <w:color w:val="auto"/>
                <w:w w:val="95"/>
              </w:rPr>
              <w:t>The NASDAQ Stock Market LLC</w:t>
            </w:r>
          </w:p>
        </w:tc>
      </w:tr>
    </w:tbl>
    <w:p>
      <w:pPr>
        <w:spacing w:after="0" w:line="18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382270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 w:name="page2"/>
    <w:bookmarkEnd w:id="1"/>
    <w:p>
      <w:pPr>
        <w:ind w:right="2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 Compensatory Arrangements of Certain Officers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Cohu, Inc. (“Cohu”), after considering the uncertainty and adverse business impacts of the COVID-19 virus pandemic, the Compensation Committee of the Board of Directors met on March 24, 2020 and proactively approved temporary base salary reductions for our NEOs, as set forth below. The Compensation Committee of Cohu’s Board of Directors may review, change or end the temporary salary reduction program at its discretion in the future.</w:t>
      </w:r>
    </w:p>
    <w:p>
      <w:pPr>
        <w:spacing w:after="0" w:line="1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Set forth below is a summary of the temporary base salary reductions, on an annualized basis, for Cohu’s named executive officers as identified in Cohu’s proxy statement for its 2020 annual meeting of stockholders, as filed on March 25,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2"/>
              </w:rPr>
              <w:t>January 1, 2019</w:t>
            </w:r>
          </w:p>
        </w:tc>
        <w:tc>
          <w:tcPr>
            <w:tcW w:w="1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9"/>
              </w:rPr>
              <w:t>July 29, 2019</w:t>
            </w:r>
          </w:p>
        </w:tc>
        <w:tc>
          <w:tcPr>
            <w:tcW w:w="1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2"/>
              </w:rPr>
              <w:t>February 24, 2020</w:t>
            </w:r>
          </w:p>
        </w:tc>
        <w:tc>
          <w:tcPr>
            <w:tcW w:w="8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April 6, 2020</w:t>
            </w:r>
          </w:p>
        </w:tc>
      </w:tr>
      <w:tr>
        <w:trPr>
          <w:trHeight w:val="234"/>
        </w:trPr>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Named Executive Officer</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Base Salary</w:t>
            </w:r>
          </w:p>
        </w:tc>
        <w:tc>
          <w:tcPr>
            <w:tcW w:w="10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Base Salary</w:t>
            </w:r>
          </w:p>
        </w:tc>
        <w:tc>
          <w:tcPr>
            <w:tcW w:w="10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Base Salary</w:t>
            </w:r>
          </w:p>
        </w:tc>
        <w:tc>
          <w:tcPr>
            <w:tcW w:w="8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Base Salary</w:t>
            </w:r>
          </w:p>
        </w:tc>
        <w:tc>
          <w:tcPr>
            <w:tcW w:w="100" w:type="dxa"/>
            <w:vAlign w:val="bottom"/>
          </w:tcPr>
          <w:p>
            <w:pPr>
              <w:spacing w:after="0"/>
              <w:rPr>
                <w:sz w:val="20"/>
                <w:szCs w:val="20"/>
                <w:color w:val="auto"/>
              </w:rPr>
            </w:pPr>
          </w:p>
        </w:tc>
      </w:tr>
      <w:tr>
        <w:trPr>
          <w:trHeight w:val="209"/>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Luis A. Müller</w:t>
            </w:r>
          </w:p>
        </w:tc>
        <w:tc>
          <w:tcPr>
            <w:tcW w:w="17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$595,000</w:t>
            </w:r>
          </w:p>
        </w:tc>
        <w:tc>
          <w:tcPr>
            <w:tcW w:w="17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$565,250</w:t>
            </w:r>
          </w:p>
        </w:tc>
        <w:tc>
          <w:tcPr>
            <w:tcW w:w="17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$595,000</w:t>
            </w:r>
          </w:p>
        </w:tc>
        <w:tc>
          <w:tcPr>
            <w:tcW w:w="1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$476,000</w:t>
            </w: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Jeffrey D. Jones</w:t>
            </w:r>
          </w:p>
        </w:tc>
        <w:tc>
          <w:tcPr>
            <w:tcW w:w="172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$380,000</w:t>
            </w:r>
          </w:p>
        </w:tc>
        <w:tc>
          <w:tcPr>
            <w:tcW w:w="172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$361,000</w:t>
            </w:r>
          </w:p>
        </w:tc>
        <w:tc>
          <w:tcPr>
            <w:tcW w:w="172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$380,000</w:t>
            </w:r>
          </w:p>
        </w:tc>
        <w:tc>
          <w:tcPr>
            <w:tcW w:w="1680" w:type="dxa"/>
            <w:vAlign w:val="bottom"/>
            <w:gridSpan w:val="2"/>
          </w:tcPr>
          <w:p>
            <w:pPr>
              <w:jc w:val="center"/>
              <w:spacing w:after="0"/>
              <w:rPr>
                <w:sz w:val="20"/>
                <w:szCs w:val="20"/>
                <w:color w:val="auto"/>
              </w:rPr>
            </w:pPr>
            <w:r>
              <w:rPr>
                <w:rFonts w:ascii="Arial" w:cs="Arial" w:eastAsia="Arial" w:hAnsi="Arial"/>
                <w:sz w:val="18"/>
                <w:szCs w:val="18"/>
                <w:color w:val="auto"/>
                <w:w w:val="90"/>
              </w:rPr>
              <w:t>$323,000</w:t>
            </w: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Christopher G. Bohrson</w:t>
            </w:r>
          </w:p>
        </w:tc>
        <w:tc>
          <w:tcPr>
            <w:tcW w:w="17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$350,000</w:t>
            </w:r>
          </w:p>
        </w:tc>
        <w:tc>
          <w:tcPr>
            <w:tcW w:w="17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$332,500</w:t>
            </w:r>
          </w:p>
        </w:tc>
        <w:tc>
          <w:tcPr>
            <w:tcW w:w="17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$350,000</w:t>
            </w:r>
          </w:p>
        </w:tc>
        <w:tc>
          <w:tcPr>
            <w:tcW w:w="1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$297,500</w:t>
            </w: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Thomas D. Kampfer</w:t>
            </w:r>
          </w:p>
        </w:tc>
        <w:tc>
          <w:tcPr>
            <w:tcW w:w="172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$335,000</w:t>
            </w:r>
          </w:p>
        </w:tc>
        <w:tc>
          <w:tcPr>
            <w:tcW w:w="172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$318,250</w:t>
            </w:r>
          </w:p>
        </w:tc>
        <w:tc>
          <w:tcPr>
            <w:tcW w:w="172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$335,000</w:t>
            </w:r>
          </w:p>
        </w:tc>
        <w:tc>
          <w:tcPr>
            <w:tcW w:w="1680" w:type="dxa"/>
            <w:vAlign w:val="bottom"/>
            <w:gridSpan w:val="2"/>
          </w:tcPr>
          <w:p>
            <w:pPr>
              <w:jc w:val="center"/>
              <w:spacing w:after="0"/>
              <w:rPr>
                <w:sz w:val="20"/>
                <w:szCs w:val="20"/>
                <w:color w:val="auto"/>
              </w:rPr>
            </w:pPr>
            <w:r>
              <w:rPr>
                <w:rFonts w:ascii="Arial" w:cs="Arial" w:eastAsia="Arial" w:hAnsi="Arial"/>
                <w:sz w:val="18"/>
                <w:szCs w:val="18"/>
                <w:color w:val="auto"/>
                <w:w w:val="90"/>
              </w:rPr>
              <w:t>$284,750</w:t>
            </w:r>
          </w:p>
        </w:tc>
        <w:tc>
          <w:tcPr>
            <w:tcW w:w="100" w:type="dxa"/>
            <w:vAlign w:val="bottom"/>
          </w:tcPr>
          <w:p>
            <w:pPr>
              <w:spacing w:after="0"/>
              <w:rPr>
                <w:sz w:val="18"/>
                <w:szCs w:val="18"/>
                <w:color w:val="auto"/>
              </w:rPr>
            </w:pPr>
          </w:p>
        </w:tc>
      </w:tr>
      <w:tr>
        <w:trPr>
          <w:trHeight w:val="216"/>
        </w:trPr>
        <w:tc>
          <w:tcPr>
            <w:tcW w:w="3740" w:type="dxa"/>
            <w:vAlign w:val="bottom"/>
            <w:tcBorders>
              <w:bottom w:val="single" w:sz="8" w:color="auto"/>
            </w:tcBorders>
            <w:shd w:val="clear" w:color="auto" w:fill="CCEEFF"/>
          </w:tcPr>
          <w:p>
            <w:pPr>
              <w:spacing w:after="0" w:line="216" w:lineRule="exact"/>
              <w:rPr>
                <w:sz w:val="20"/>
                <w:szCs w:val="20"/>
                <w:color w:val="auto"/>
              </w:rPr>
            </w:pPr>
            <w:r>
              <w:rPr>
                <w:rFonts w:ascii="Arial" w:cs="Arial" w:eastAsia="Arial" w:hAnsi="Arial"/>
                <w:sz w:val="17"/>
                <w:szCs w:val="17"/>
                <w:color w:val="auto"/>
              </w:rPr>
              <w:t xml:space="preserve">Pascal Rondé </w:t>
            </w:r>
            <w:r>
              <w:rPr>
                <w:rFonts w:ascii="Arial" w:cs="Arial" w:eastAsia="Arial" w:hAnsi="Arial"/>
                <w:sz w:val="25"/>
                <w:szCs w:val="25"/>
                <w:color w:val="auto"/>
                <w:vertAlign w:val="superscript"/>
              </w:rPr>
              <w:t>(1)</w:t>
            </w:r>
          </w:p>
        </w:tc>
        <w:tc>
          <w:tcPr>
            <w:tcW w:w="1720" w:type="dxa"/>
            <w:vAlign w:val="bottom"/>
            <w:tcBorders>
              <w:bottom w:val="single" w:sz="8" w:color="auto"/>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$363,421</w:t>
            </w:r>
          </w:p>
        </w:tc>
        <w:tc>
          <w:tcPr>
            <w:tcW w:w="1720" w:type="dxa"/>
            <w:vAlign w:val="bottom"/>
            <w:tcBorders>
              <w:bottom w:val="single" w:sz="8" w:color="auto"/>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$346,956</w:t>
            </w:r>
          </w:p>
        </w:tc>
        <w:tc>
          <w:tcPr>
            <w:tcW w:w="1720" w:type="dxa"/>
            <w:vAlign w:val="bottom"/>
            <w:tcBorders>
              <w:bottom w:val="single" w:sz="8" w:color="auto"/>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$358,400</w:t>
            </w:r>
          </w:p>
        </w:tc>
        <w:tc>
          <w:tcPr>
            <w:tcW w:w="168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$304,639</w:t>
            </w:r>
          </w:p>
        </w:tc>
        <w:tc>
          <w:tcPr>
            <w:tcW w:w="100" w:type="dxa"/>
            <w:vAlign w:val="bottom"/>
            <w:tcBorders>
              <w:bottom w:val="single" w:sz="8" w:color="CCEEFF"/>
            </w:tcBorders>
            <w:shd w:val="clear" w:color="auto" w:fill="CCEEFF"/>
          </w:tcPr>
          <w:p>
            <w:pPr>
              <w:spacing w:after="0"/>
              <w:rPr>
                <w:sz w:val="18"/>
                <w:szCs w:val="18"/>
                <w:color w:val="auto"/>
              </w:rPr>
            </w:pPr>
          </w:p>
        </w:tc>
      </w:tr>
    </w:tbl>
    <w:p>
      <w:pPr>
        <w:ind w:left="440" w:hanging="432"/>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Rondé is paid in Euros and the base salary rates above have been converted to U.S. Dollars as required by SEC rules.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addition to the above, and also after considering the uncertainty and adverse business impacts of the COVID-19 virus pandemic, the Board of Directors met on March 23, 2020 and proactively approved temporary cash retainer and fee reductions for non-employee directors in the amount of 20%, effective as of second fiscal quarter 2020. Cohu’s Board of Directors may review, change or end the temporary cash retainer and fee reduction program at its discretion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384810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Cohu, Inc.</w:t>
      </w:r>
    </w:p>
    <w:p>
      <w:pPr>
        <w:sectPr>
          <w:pgSz w:w="11900" w:h="16838" w:orient="portrait"/>
          <w:cols w:equalWidth="0" w:num="1">
            <w:col w:w="11200"/>
          </w:cols>
          <w:pgMar w:left="320" w:top="621" w:right="37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March 25, 2020</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29210</wp:posOffset>
            </wp:positionV>
            <wp:extent cx="3488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3">
            <w:col w:w="4680" w:space="720"/>
            <w:col w:w="260" w:space="300"/>
            <w:col w:w="5240"/>
          </w:cols>
          <w:pgMar w:left="320" w:top="621" w:right="379" w:bottom="1440" w:gutter="0" w:footer="0" w:header="0"/>
          <w:type w:val="continuous"/>
        </w:sectPr>
      </w:pPr>
    </w:p>
    <w:p>
      <w:pPr>
        <w:ind w:left="5740"/>
        <w:spacing w:after="0"/>
        <w:rPr>
          <w:sz w:val="20"/>
          <w:szCs w:val="20"/>
          <w:color w:val="auto"/>
        </w:rPr>
      </w:pPr>
      <w:r>
        <w:rPr>
          <w:rFonts w:ascii="Arial" w:cs="Arial" w:eastAsia="Arial" w:hAnsi="Arial"/>
          <w:sz w:val="18"/>
          <w:szCs w:val="18"/>
          <w:i w:val="1"/>
          <w:iCs w:val="1"/>
          <w:color w:val="auto"/>
        </w:rPr>
        <w:t>Name: Jeffrey D. Jones</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6"/>
          <w:szCs w:val="16"/>
          <w:i w:val="1"/>
          <w:iCs w:val="1"/>
          <w:color w:val="auto"/>
        </w:rPr>
        <w:t>Title: VP Finance and Chief Financial Officer</w:t>
      </w:r>
    </w:p>
    <w:sectPr>
      <w:pgSz w:w="11900" w:h="16838" w:orient="portrait"/>
      <w:cols w:equalWidth="0" w:num="1">
        <w:col w:w="11200"/>
      </w:cols>
      <w:pgMar w:left="320" w:top="62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2020-03-25T15:07:08Z</dcterms:created>
  <dcterms:modified xsi:type="dcterms:W3CDTF">2020-03-25T15:07:08Z</dcterms:modified>
</cp:coreProperties>
</file>