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rFonts w:ascii="Times New Roman;Times;serif" w:hAnsi="Times New Roman;Times;serif"/>
          <w:sz w:val="20"/>
        </w:rPr>
      </w:pPr>
      <w:bookmarkStart w:id="0" w:name="cohu20260512_8k.htm"/>
      <w:bookmarkStart w:id="1" w:name="kscohu20260512_8k"/>
      <w:bookmarkEnd w:id="0"/>
      <w:bookmarkEnd w:id="1"/>
      <w:r>
        <w:rPr>
          <w:rFonts w:ascii="Times New Roman;Times;serif" w:hAnsi="Times New Roman;Times;serif"/>
          <w:sz w:val="20"/>
        </w:rPr>
        <w:t>--12-26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95"/>
        <w:gridCol w:w="1160"/>
      </w:tblGrid>
      <w:tr>
        <w:trPr/>
        <w:tc>
          <w:tcPr>
            <w:tcW w:w="3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of Report (Date of Earliest Event Reported):</w:t>
            </w:r>
          </w:p>
        </w:tc>
        <w:tc>
          <w:tcPr>
            <w:tcW w:w="11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caps w:val="false"/>
          <w:smallCaps w:val="false"/>
          <w:sz w:val="48"/>
        </w:rPr>
        <w:t>Cohu,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664" w:type="dxa"/>
        <w:jc w:val="left"/>
        <w:tblInd w:w="0" w:type="dxa"/>
        <w:tblLayout w:type="fixed"/>
        <w:tblCellMar>
          <w:top w:w="0" w:type="dxa"/>
          <w:left w:w="0" w:type="dxa"/>
          <w:bottom w:w="0" w:type="dxa"/>
          <w:right w:w="0" w:type="dxa"/>
        </w:tblCellMar>
      </w:tblPr>
      <w:tblGrid>
        <w:gridCol w:w="89"/>
        <w:gridCol w:w="4746"/>
        <w:gridCol w:w="89"/>
        <w:gridCol w:w="1100"/>
        <w:gridCol w:w="60"/>
        <w:gridCol w:w="1520"/>
        <w:gridCol w:w="60"/>
      </w:tblGrid>
      <w:tr>
        <w:trPr/>
        <w:tc>
          <w:tcPr>
            <w:tcW w:w="89" w:type="dxa"/>
            <w:tcBorders/>
            <w:vAlign w:val="center"/>
          </w:tcPr>
          <w:p>
            <w:pPr>
              <w:pStyle w:val="TableContents"/>
              <w:bidi w:val="0"/>
              <w:spacing w:before="0" w:after="283"/>
              <w:jc w:val="left"/>
              <w:rPr/>
            </w:pPr>
            <w:r>
              <w:rPr/>
              <w:t> </w:t>
            </w:r>
          </w:p>
        </w:tc>
        <w:tc>
          <w:tcPr>
            <w:tcW w:w="47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89" w:type="dxa"/>
            <w:tcBorders/>
            <w:vAlign w:val="center"/>
          </w:tcPr>
          <w:p>
            <w:pPr>
              <w:pStyle w:val="TableContents"/>
              <w:bidi w:val="0"/>
              <w:spacing w:before="0" w:after="283"/>
              <w:jc w:val="left"/>
              <w:rPr/>
            </w:pPr>
            <w:r>
              <w:rPr/>
              <w:t> </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001-04298</w:t>
            </w:r>
          </w:p>
        </w:tc>
        <w:tc>
          <w:tcPr>
            <w:tcW w:w="60" w:type="dxa"/>
            <w:tcBorders/>
            <w:vAlign w:val="center"/>
          </w:tcPr>
          <w:p>
            <w:pPr>
              <w:pStyle w:val="TableContents"/>
              <w:bidi w:val="0"/>
              <w:spacing w:before="0" w:after="283"/>
              <w:jc w:val="left"/>
              <w:rPr/>
            </w:pPr>
            <w:r>
              <w:rPr/>
              <w:t> </w:t>
            </w:r>
          </w:p>
        </w:tc>
        <w:tc>
          <w:tcPr>
            <w:tcW w:w="15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95-1934119</w:t>
            </w:r>
          </w:p>
        </w:tc>
        <w:tc>
          <w:tcPr>
            <w:tcW w:w="60" w:type="dxa"/>
            <w:tcBorders/>
            <w:vAlign w:val="center"/>
          </w:tcPr>
          <w:p>
            <w:pPr>
              <w:pStyle w:val="TableContents"/>
              <w:bidi w:val="0"/>
              <w:spacing w:before="0" w:after="283"/>
              <w:jc w:val="left"/>
              <w:rPr/>
            </w:pPr>
            <w:r>
              <w:rPr/>
              <w:t> </w:t>
            </w:r>
          </w:p>
        </w:tc>
      </w:tr>
      <w:tr>
        <w:trPr/>
        <w:tc>
          <w:tcPr>
            <w:tcW w:w="89" w:type="dxa"/>
            <w:tcBorders/>
            <w:vAlign w:val="center"/>
          </w:tcPr>
          <w:p>
            <w:pPr>
              <w:pStyle w:val="TableContents"/>
              <w:bidi w:val="0"/>
              <w:spacing w:before="0" w:after="283"/>
              <w:jc w:val="left"/>
              <w:rPr/>
            </w:pPr>
            <w:r>
              <w:rPr/>
              <w:t> </w:t>
            </w:r>
          </w:p>
        </w:tc>
        <w:tc>
          <w:tcPr>
            <w:tcW w:w="474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tc>
        <w:tc>
          <w:tcPr>
            <w:tcW w:w="89"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c>
          <w:tcPr>
            <w:tcW w:w="60" w:type="dxa"/>
            <w:tcBorders/>
            <w:vAlign w:val="center"/>
          </w:tcPr>
          <w:p>
            <w:pPr>
              <w:pStyle w:val="TableContents"/>
              <w:bidi w:val="0"/>
              <w:spacing w:before="0" w:after="283"/>
              <w:jc w:val="left"/>
              <w:rPr/>
            </w:pPr>
            <w:r>
              <w:rPr/>
              <w:t> </w:t>
            </w:r>
          </w:p>
        </w:tc>
      </w:tr>
      <w:tr>
        <w:trPr/>
        <w:tc>
          <w:tcPr>
            <w:tcW w:w="89" w:type="dxa"/>
            <w:tcBorders/>
            <w:vAlign w:val="center"/>
          </w:tcPr>
          <w:p>
            <w:pPr>
              <w:pStyle w:val="TableContents"/>
              <w:bidi w:val="0"/>
              <w:spacing w:before="0" w:after="283"/>
              <w:jc w:val="left"/>
              <w:rPr/>
            </w:pPr>
            <w:r>
              <w:rPr/>
              <w:t> </w:t>
            </w:r>
          </w:p>
        </w:tc>
        <w:tc>
          <w:tcPr>
            <w:tcW w:w="474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89"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c>
          <w:tcPr>
            <w:tcW w:w="60" w:type="dxa"/>
            <w:tcBorders/>
            <w:vAlign w:val="center"/>
          </w:tcPr>
          <w:p>
            <w:pPr>
              <w:pStyle w:val="TableContents"/>
              <w:bidi w:val="0"/>
              <w:spacing w:before="0" w:after="283"/>
              <w:jc w:val="left"/>
              <w:rPr/>
            </w:pPr>
            <w:r>
              <w:rPr/>
              <w:t> </w:t>
            </w:r>
          </w:p>
        </w:tc>
      </w:tr>
      <w:tr>
        <w:trPr/>
        <w:tc>
          <w:tcPr>
            <w:tcW w:w="89" w:type="dxa"/>
            <w:tcBorders/>
            <w:vAlign w:val="center"/>
          </w:tcPr>
          <w:p>
            <w:pPr>
              <w:pStyle w:val="TableContents"/>
              <w:bidi w:val="0"/>
              <w:spacing w:before="0" w:after="283"/>
              <w:jc w:val="left"/>
              <w:rPr/>
            </w:pPr>
            <w:r>
              <w:rPr/>
              <w:t> </w:t>
            </w:r>
          </w:p>
        </w:tc>
        <w:tc>
          <w:tcPr>
            <w:tcW w:w="4746"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89" w:type="dxa"/>
            <w:tcBorders/>
            <w:vAlign w:val="center"/>
          </w:tcPr>
          <w:p>
            <w:pPr>
              <w:pStyle w:val="TableContents"/>
              <w:bidi w:val="0"/>
              <w:spacing w:before="0" w:after="283"/>
              <w:jc w:val="left"/>
              <w:rPr/>
            </w:pPr>
            <w:r>
              <w:rPr/>
              <w:t> </w:t>
            </w:r>
          </w:p>
        </w:tc>
        <w:tc>
          <w:tcPr>
            <w:tcW w:w="47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17087 Via Del Campo</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San Diego, California</w:t>
            </w:r>
          </w:p>
        </w:tc>
        <w:tc>
          <w:tcPr>
            <w:tcW w:w="89"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92127</w:t>
            </w:r>
          </w:p>
        </w:tc>
        <w:tc>
          <w:tcPr>
            <w:tcW w:w="60" w:type="dxa"/>
            <w:tcBorders/>
            <w:vAlign w:val="center"/>
          </w:tcPr>
          <w:p>
            <w:pPr>
              <w:pStyle w:val="TableContents"/>
              <w:bidi w:val="0"/>
              <w:spacing w:before="0" w:after="283"/>
              <w:jc w:val="left"/>
              <w:rPr/>
            </w:pPr>
            <w:r>
              <w:rPr/>
              <w:t> </w:t>
            </w:r>
          </w:p>
        </w:tc>
      </w:tr>
      <w:tr>
        <w:trPr/>
        <w:tc>
          <w:tcPr>
            <w:tcW w:w="89" w:type="dxa"/>
            <w:tcBorders/>
            <w:vAlign w:val="center"/>
          </w:tcPr>
          <w:p>
            <w:pPr>
              <w:pStyle w:val="TableContents"/>
              <w:bidi w:val="0"/>
              <w:spacing w:before="0" w:after="283"/>
              <w:jc w:val="left"/>
              <w:rPr/>
            </w:pPr>
            <w:r>
              <w:rPr/>
              <w:t> </w:t>
            </w:r>
          </w:p>
        </w:tc>
        <w:tc>
          <w:tcPr>
            <w:tcW w:w="474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89"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c>
          <w:tcPr>
            <w:tcW w:w="60" w:type="dxa"/>
            <w:tcBorders/>
            <w:vAlign w:val="center"/>
          </w:tcPr>
          <w:p>
            <w:pPr>
              <w:pStyle w:val="TableContents"/>
              <w:bidi w:val="0"/>
              <w:spacing w:before="0" w:after="283"/>
              <w:jc w:val="left"/>
              <w:rPr/>
            </w:pPr>
            <w:r>
              <w:rPr/>
              <w:t> </w:t>
            </w:r>
          </w:p>
        </w:tc>
      </w:tr>
      <w:tr>
        <w:trPr/>
        <w:tc>
          <w:tcPr>
            <w:tcW w:w="89" w:type="dxa"/>
            <w:tcBorders/>
            <w:vAlign w:val="center"/>
          </w:tcPr>
          <w:p>
            <w:pPr>
              <w:pStyle w:val="TableContents"/>
              <w:bidi w:val="0"/>
              <w:spacing w:before="0" w:after="283"/>
              <w:jc w:val="left"/>
              <w:rPr/>
            </w:pPr>
            <w:r>
              <w:rPr/>
              <w:t> </w:t>
            </w:r>
          </w:p>
        </w:tc>
        <w:tc>
          <w:tcPr>
            <w:tcW w:w="4746"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924" w:type="dxa"/>
            <w:gridSpan w:val="3"/>
            <w:tcBorders/>
            <w:vAlign w:val="center"/>
          </w:tcPr>
          <w:p>
            <w:pPr>
              <w:pStyle w:val="TableContents"/>
              <w:bidi w:val="0"/>
              <w:spacing w:before="0" w:after="283"/>
              <w:jc w:val="center"/>
              <w:rPr/>
            </w:pPr>
            <w:r>
              <w:rPr/>
              <w:t>Registrant’s telephone number, including area code:</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858-848-8100</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40" w:type="dxa"/>
        <w:jc w:val="left"/>
        <w:tblInd w:w="0" w:type="dxa"/>
        <w:tblLayout w:type="fixed"/>
        <w:tblCellMar>
          <w:top w:w="0" w:type="dxa"/>
          <w:left w:w="0" w:type="dxa"/>
          <w:bottom w:w="0" w:type="dxa"/>
          <w:right w:w="0" w:type="dxa"/>
        </w:tblCellMar>
      </w:tblPr>
      <w:tblGrid>
        <w:gridCol w:w="2630"/>
        <w:gridCol w:w="1535"/>
        <w:gridCol w:w="3575"/>
      </w:tblGrid>
      <w:tr>
        <w:trPr/>
        <w:tc>
          <w:tcPr>
            <w:tcW w:w="26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6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$1.00 par value</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COHU</w:t>
            </w:r>
          </w:p>
        </w:tc>
        <w:tc>
          <w:tcPr>
            <w:tcW w:w="35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pPr>
            <w:r>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pPr>
            <w:r>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5.03. Amendments to Articles of Incorporation or Bylaws; Change in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Amended and Restated Articles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Inc. (“Cohu” or the “Company”) held its 2026 Annual Meeting of Stockholders on May 15, 2026 (the “Annual Meeting”). At the Annual Meeting, Cohu’s stockholders approved an amendment to Cohu’s Amended and Restated Certificate of Incorporation to increase the number of authorized shares of common stock from 90,000,000 to 150,000,000 shares. The amendment is discussed in greater detail in the definitive Proxy Statement for the Annual Meeting, which was filed with the Securities and Exchange Commission on April 2, 2026. Accordingly, on May 15, 2026, Cohu filed with the Secretary of State of the State of Delaware an Amended and Restated Certificate of Incorporation implementing the approved changes (the “Restated Certificate”), and the Restated Certificate was effective as of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description of the Restated Certificate is qualified in its entirety by reference to the Restated Certificate filed herewith as Exhibit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Amended and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May 15, 2026, the Board of Directors (the “Board”) approved Cohu’s Amended and Restated Bylaws (as so amended and restated, the “Amended Bylaws”), effective as of such date. Consistent with market practice among Delaware corporations to seek resolution of certain corporate claims in the Court of Chancery of the State of Delaware (the “Court of Chancery”), the Amended Bylaws include an exclusive forum provision that designates the Court of Chancery as the exclusive forum for certain actions, including, but not limited to, derivative actions, fiduciary duty claims, claims arising under the Delaware General Corporation Law, the Company’s certificate of incorporation or bylaws, and other internal corporate claims, as defined under Delaware law (the “Provision”). The Provision includes customary jurisdictional fallbacks to other Delaware courts where the Court of Chancery lacks jurisdiction, and provides for stockholder consent to personal jurisdiction in Delaware to enforce the Provision. In addition, the Provision specifies that, to the fullest extent permitted by law, the federal district courts of the United States will be the exclusive forum for claims arising under the Securities Act of 1933, as amended. The Provision is intended to promote consistency and predictability in the application of Delaware law, reduce the risk of duplicative litigation in multiple forums, and enhance judicial efficiency.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foregoing summary description of the Amended Bylaws is qualified in its entirety by reference to the complete text of the Amended Bylaws, a copy of which is included as Exhibit 3.2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the Annual Meeting, the Company’s stockholders cast their votes on six proposals, as set forth below. The Company had 47,166,278 shares outstanding on March 23, 2026, the record date, and 42,490,768 (90.1%) were represented at the Annual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74"/>
        <w:gridCol w:w="392"/>
        <w:gridCol w:w="392"/>
        <w:gridCol w:w="392"/>
        <w:gridCol w:w="392"/>
        <w:gridCol w:w="392"/>
        <w:gridCol w:w="392"/>
        <w:gridCol w:w="392"/>
        <w:gridCol w:w="392"/>
        <w:gridCol w:w="395"/>
      </w:tblGrid>
      <w:tr>
        <w:trPr/>
        <w:tc>
          <w:tcPr>
            <w:tcW w:w="6674"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Proposal 1. </w:t>
            </w:r>
          </w:p>
        </w:tc>
        <w:tc>
          <w:tcPr>
            <w:tcW w:w="392"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r>
      <w:tr>
        <w:trPr/>
        <w:tc>
          <w:tcPr>
            <w:tcW w:w="10205" w:type="dxa"/>
            <w:gridSpan w:val="10"/>
            <w:tcBorders/>
            <w:vAlign w:val="center"/>
          </w:tcPr>
          <w:p>
            <w:pPr>
              <w:pStyle w:val="TableContents"/>
              <w:bidi w:val="0"/>
              <w:spacing w:before="0" w:after="283"/>
              <w:jc w:val="left"/>
              <w:rPr/>
            </w:pPr>
            <w:r>
              <w:rPr/>
              <w:t> </w:t>
            </w:r>
          </w:p>
        </w:tc>
      </w:tr>
      <w:tr>
        <w:trPr/>
        <w:tc>
          <w:tcPr>
            <w:tcW w:w="10205" w:type="dxa"/>
            <w:gridSpan w:val="1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nominees for election as Class 1 directors to serve until the 2029 Annual Meeting of Stockholders, were elected based upon the following votes:</w:t>
            </w:r>
          </w:p>
        </w:tc>
      </w:tr>
    </w:tbl>
    <w:p>
      <w:pPr>
        <w:pStyle w:val="TextBody"/>
        <w:bidi w:val="0"/>
        <w:spacing w:before="0" w:after="0"/>
        <w:ind w:left="0" w:right="0" w:hanging="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1730"/>
        <w:gridCol w:w="60"/>
        <w:gridCol w:w="950"/>
        <w:gridCol w:w="60"/>
        <w:gridCol w:w="1175"/>
        <w:gridCol w:w="60"/>
        <w:gridCol w:w="995"/>
        <w:gridCol w:w="60"/>
        <w:gridCol w:w="1550"/>
        <w:gridCol w:w="75"/>
      </w:tblGrid>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Votes For </w:t>
            </w:r>
          </w:p>
        </w:tc>
        <w:tc>
          <w:tcPr>
            <w:tcW w:w="60" w:type="dxa"/>
            <w:tcBorders/>
            <w:vAlign w:val="center"/>
          </w:tcPr>
          <w:p>
            <w:pPr>
              <w:pStyle w:val="TableContents"/>
              <w:bidi w:val="0"/>
              <w:spacing w:before="0" w:after="283"/>
              <w:ind w:left="0" w:right="0" w:hanging="0"/>
              <w:jc w:val="left"/>
              <w:rPr/>
            </w:pPr>
            <w:r>
              <w:rPr/>
              <w:t> </w:t>
            </w:r>
          </w:p>
        </w:tc>
        <w:tc>
          <w:tcPr>
            <w:tcW w:w="11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Votes Against</w:t>
            </w:r>
          </w:p>
        </w:tc>
        <w:tc>
          <w:tcPr>
            <w:tcW w:w="60" w:type="dxa"/>
            <w:tcBorders/>
            <w:vAlign w:val="center"/>
          </w:tcPr>
          <w:p>
            <w:pPr>
              <w:pStyle w:val="TableContents"/>
              <w:bidi w:val="0"/>
              <w:spacing w:before="0" w:after="283"/>
              <w:ind w:left="0" w:right="0" w:hanging="0"/>
              <w:jc w:val="left"/>
              <w:rPr/>
            </w:pPr>
            <w:r>
              <w:rPr/>
              <w:t> </w:t>
            </w:r>
          </w:p>
        </w:tc>
        <w:tc>
          <w:tcPr>
            <w:tcW w:w="99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Abstentions</w:t>
            </w:r>
          </w:p>
        </w:tc>
        <w:tc>
          <w:tcPr>
            <w:tcW w:w="60" w:type="dxa"/>
            <w:tcBorders/>
            <w:vAlign w:val="center"/>
          </w:tcPr>
          <w:p>
            <w:pPr>
              <w:pStyle w:val="TableContents"/>
              <w:bidi w:val="0"/>
              <w:spacing w:before="0" w:after="283"/>
              <w:ind w:left="0" w:right="0" w:hanging="0"/>
              <w:jc w:val="left"/>
              <w:rPr/>
            </w:pPr>
            <w:r>
              <w:rPr/>
              <w:t> </w:t>
            </w:r>
          </w:p>
        </w:tc>
        <w:tc>
          <w:tcPr>
            <w:tcW w:w="155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Broker Non-Votes</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William E. Bendush</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36,089,876</w:t>
            </w:r>
          </w:p>
        </w:tc>
        <w:tc>
          <w:tcPr>
            <w:tcW w:w="60" w:type="dxa"/>
            <w:tcBorders/>
            <w:shd w:fill="CCEEFF" w:val="clear"/>
            <w:vAlign w:val="center"/>
          </w:tcPr>
          <w:p>
            <w:pPr>
              <w:pStyle w:val="TableContents"/>
              <w:bidi w:val="0"/>
              <w:spacing w:before="0" w:after="283"/>
              <w:ind w:left="0" w:right="0" w:hanging="0"/>
              <w:jc w:val="left"/>
              <w:rPr/>
            </w:pPr>
            <w:r>
              <w:rPr/>
              <w:t> </w:t>
            </w:r>
          </w:p>
        </w:tc>
        <w:tc>
          <w:tcPr>
            <w:tcW w:w="117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3,605,393</w:t>
            </w:r>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111,853</w:t>
            </w:r>
          </w:p>
        </w:tc>
        <w:tc>
          <w:tcPr>
            <w:tcW w:w="60" w:type="dxa"/>
            <w:tcBorders/>
            <w:shd w:fill="CCEEFF" w:val="clear"/>
            <w:vAlign w:val="center"/>
          </w:tcPr>
          <w:p>
            <w:pPr>
              <w:pStyle w:val="TableContents"/>
              <w:bidi w:val="0"/>
              <w:spacing w:before="0" w:after="283"/>
              <w:ind w:left="0" w:right="0" w:hanging="0"/>
              <w:jc w:val="left"/>
              <w:rPr/>
            </w:pPr>
            <w:r>
              <w:rPr/>
              <w:t> </w:t>
            </w:r>
          </w:p>
        </w:tc>
        <w:tc>
          <w:tcPr>
            <w:tcW w:w="15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2,683,646</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Karen M. Rapp</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38,563,973</w:t>
            </w:r>
          </w:p>
        </w:tc>
        <w:tc>
          <w:tcPr>
            <w:tcW w:w="60" w:type="dxa"/>
            <w:tcBorders/>
            <w:shd w:fill="CCEEFF" w:val="clear"/>
            <w:vAlign w:val="center"/>
          </w:tcPr>
          <w:p>
            <w:pPr>
              <w:pStyle w:val="TableContents"/>
              <w:bidi w:val="0"/>
              <w:spacing w:before="0" w:after="283"/>
              <w:ind w:left="0" w:right="0" w:hanging="0"/>
              <w:jc w:val="left"/>
              <w:rPr/>
            </w:pPr>
            <w:r>
              <w:rPr/>
              <w:t> </w:t>
            </w:r>
          </w:p>
        </w:tc>
        <w:tc>
          <w:tcPr>
            <w:tcW w:w="117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1,205,359</w:t>
            </w:r>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37,790</w:t>
            </w:r>
          </w:p>
        </w:tc>
        <w:tc>
          <w:tcPr>
            <w:tcW w:w="60" w:type="dxa"/>
            <w:tcBorders/>
            <w:shd w:fill="CCEEFF" w:val="clear"/>
            <w:vAlign w:val="center"/>
          </w:tcPr>
          <w:p>
            <w:pPr>
              <w:pStyle w:val="TableContents"/>
              <w:bidi w:val="0"/>
              <w:spacing w:before="0" w:after="283"/>
              <w:ind w:left="0" w:right="0" w:hanging="0"/>
              <w:jc w:val="left"/>
              <w:rPr/>
            </w:pPr>
            <w:r>
              <w:rPr/>
              <w:t> </w:t>
            </w:r>
          </w:p>
        </w:tc>
        <w:tc>
          <w:tcPr>
            <w:tcW w:w="15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2,683,646</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Nina L. Richardson</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38,383,859</w:t>
            </w:r>
          </w:p>
        </w:tc>
        <w:tc>
          <w:tcPr>
            <w:tcW w:w="60" w:type="dxa"/>
            <w:tcBorders/>
            <w:shd w:fill="CCEEFF" w:val="clear"/>
            <w:vAlign w:val="center"/>
          </w:tcPr>
          <w:p>
            <w:pPr>
              <w:pStyle w:val="TableContents"/>
              <w:bidi w:val="0"/>
              <w:spacing w:before="0" w:after="283"/>
              <w:ind w:left="0" w:right="0" w:hanging="0"/>
              <w:jc w:val="left"/>
              <w:rPr/>
            </w:pPr>
            <w:r>
              <w:rPr/>
              <w:t> </w:t>
            </w:r>
          </w:p>
        </w:tc>
        <w:tc>
          <w:tcPr>
            <w:tcW w:w="117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1,385,514</w:t>
            </w:r>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37,749</w:t>
            </w:r>
          </w:p>
        </w:tc>
        <w:tc>
          <w:tcPr>
            <w:tcW w:w="60" w:type="dxa"/>
            <w:tcBorders/>
            <w:shd w:fill="CCEEFF" w:val="clear"/>
            <w:vAlign w:val="center"/>
          </w:tcPr>
          <w:p>
            <w:pPr>
              <w:pStyle w:val="TableContents"/>
              <w:bidi w:val="0"/>
              <w:spacing w:before="0" w:after="283"/>
              <w:ind w:left="0" w:right="0" w:hanging="0"/>
              <w:jc w:val="left"/>
              <w:rPr/>
            </w:pPr>
            <w:r>
              <w:rPr/>
              <w:t> </w:t>
            </w:r>
          </w:p>
        </w:tc>
        <w:tc>
          <w:tcPr>
            <w:tcW w:w="15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2,683,646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remaining directors whose terms continue until 2027 are Andrew M. Caggia, Yon Y. Jorden and Luis A. Müller, and until 2028 are Steven J. Bilodeau, James A. Donahue and Andreas W. Mattes.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520" w:type="dxa"/>
        <w:jc w:val="left"/>
        <w:tblInd w:w="0" w:type="dxa"/>
        <w:tblLayout w:type="fixed"/>
        <w:tblCellMar>
          <w:top w:w="0" w:type="dxa"/>
          <w:left w:w="0" w:type="dxa"/>
          <w:bottom w:w="0" w:type="dxa"/>
          <w:right w:w="0" w:type="dxa"/>
        </w:tblCellMar>
      </w:tblPr>
      <w:tblGrid>
        <w:gridCol w:w="980"/>
        <w:gridCol w:w="60"/>
        <w:gridCol w:w="60"/>
        <w:gridCol w:w="60"/>
        <w:gridCol w:w="60"/>
        <w:gridCol w:w="60"/>
        <w:gridCol w:w="60"/>
        <w:gridCol w:w="60"/>
        <w:gridCol w:w="60"/>
        <w:gridCol w:w="60"/>
      </w:tblGrid>
      <w:tr>
        <w:trPr/>
        <w:tc>
          <w:tcPr>
            <w:tcW w:w="9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Proposal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advisory vote on executive compensation of Named Executive Officers, as disclosed in the Proxy Statement, was approved. The results were as follows:</w:t>
      </w:r>
    </w:p>
    <w:p>
      <w:pPr>
        <w:pStyle w:val="TextBody"/>
        <w:bidi w:val="0"/>
        <w:spacing w:before="0" w:after="0"/>
        <w:ind w:left="0" w:right="0" w:hanging="0"/>
        <w:jc w:val="left"/>
        <w:rPr/>
      </w:pPr>
      <w:r>
        <w:rPr/>
        <w:t> </w:t>
      </w:r>
    </w:p>
    <w:tbl>
      <w:tblPr>
        <w:tblW w:w="5180" w:type="dxa"/>
        <w:jc w:val="left"/>
        <w:tblInd w:w="0" w:type="dxa"/>
        <w:tblLayout w:type="fixed"/>
        <w:tblCellMar>
          <w:top w:w="0" w:type="dxa"/>
          <w:left w:w="0" w:type="dxa"/>
          <w:bottom w:w="0" w:type="dxa"/>
          <w:right w:w="0" w:type="dxa"/>
        </w:tblCellMar>
      </w:tblPr>
      <w:tblGrid>
        <w:gridCol w:w="60"/>
        <w:gridCol w:w="60"/>
        <w:gridCol w:w="1100"/>
        <w:gridCol w:w="60"/>
        <w:gridCol w:w="1175"/>
        <w:gridCol w:w="60"/>
        <w:gridCol w:w="995"/>
        <w:gridCol w:w="60"/>
        <w:gridCol w:w="155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Votes For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Votes Against</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Abstentions</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Broker Non-Votes</w:t>
            </w:r>
          </w:p>
        </w:tc>
        <w:tc>
          <w:tcPr>
            <w:tcW w:w="60" w:type="dxa"/>
            <w:tcBorders/>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38,881,701</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608,981</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316,440</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center"/>
              <w:rPr/>
            </w:pPr>
            <w:r>
              <w:rPr/>
              <w:t>2,683,646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565" w:type="dxa"/>
        <w:jc w:val="left"/>
        <w:tblInd w:w="0" w:type="dxa"/>
        <w:tblLayout w:type="fixed"/>
        <w:tblCellMar>
          <w:top w:w="0" w:type="dxa"/>
          <w:left w:w="0" w:type="dxa"/>
          <w:bottom w:w="0" w:type="dxa"/>
          <w:right w:w="0" w:type="dxa"/>
        </w:tblCellMar>
      </w:tblPr>
      <w:tblGrid>
        <w:gridCol w:w="1025"/>
        <w:gridCol w:w="60"/>
        <w:gridCol w:w="60"/>
        <w:gridCol w:w="60"/>
        <w:gridCol w:w="60"/>
        <w:gridCol w:w="60"/>
        <w:gridCol w:w="60"/>
        <w:gridCol w:w="60"/>
        <w:gridCol w:w="60"/>
        <w:gridCol w:w="60"/>
      </w:tblGrid>
      <w:tr>
        <w:trPr/>
        <w:tc>
          <w:tcPr>
            <w:tcW w:w="10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Proposal 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Approve an amendment to our Amended and Restated Certificate of Incorporation to increase the number of authorized shares of common stock from 90,000,000 to 150,000,000 shares. The results were as follows:</w:t>
      </w:r>
    </w:p>
    <w:p>
      <w:pPr>
        <w:pStyle w:val="TextBody"/>
        <w:bidi w:val="0"/>
        <w:spacing w:before="0" w:after="0"/>
        <w:ind w:left="0" w:right="0" w:hanging="0"/>
        <w:jc w:val="left"/>
        <w:rPr/>
      </w:pPr>
      <w:r>
        <w:rPr/>
        <w:t> </w:t>
      </w:r>
    </w:p>
    <w:tbl>
      <w:tblPr>
        <w:tblW w:w="3690" w:type="dxa"/>
        <w:jc w:val="left"/>
        <w:tblInd w:w="0" w:type="dxa"/>
        <w:tblLayout w:type="fixed"/>
        <w:tblCellMar>
          <w:top w:w="0" w:type="dxa"/>
          <w:left w:w="0" w:type="dxa"/>
          <w:bottom w:w="0" w:type="dxa"/>
          <w:right w:w="0" w:type="dxa"/>
        </w:tblCellMar>
      </w:tblPr>
      <w:tblGrid>
        <w:gridCol w:w="60"/>
        <w:gridCol w:w="60"/>
        <w:gridCol w:w="1100"/>
        <w:gridCol w:w="60"/>
        <w:gridCol w:w="1175"/>
        <w:gridCol w:w="60"/>
        <w:gridCol w:w="995"/>
        <w:gridCol w:w="60"/>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Votes For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Votes Against</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Abstentions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40,897,112</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1,251,088</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342,568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565" w:type="dxa"/>
        <w:jc w:val="left"/>
        <w:tblInd w:w="0" w:type="dxa"/>
        <w:tblLayout w:type="fixed"/>
        <w:tblCellMar>
          <w:top w:w="0" w:type="dxa"/>
          <w:left w:w="0" w:type="dxa"/>
          <w:bottom w:w="0" w:type="dxa"/>
          <w:right w:w="0" w:type="dxa"/>
        </w:tblCellMar>
      </w:tblPr>
      <w:tblGrid>
        <w:gridCol w:w="1025"/>
        <w:gridCol w:w="60"/>
        <w:gridCol w:w="60"/>
        <w:gridCol w:w="60"/>
        <w:gridCol w:w="60"/>
        <w:gridCol w:w="60"/>
        <w:gridCol w:w="60"/>
        <w:gridCol w:w="60"/>
        <w:gridCol w:w="60"/>
        <w:gridCol w:w="60"/>
      </w:tblGrid>
      <w:tr>
        <w:trPr/>
        <w:tc>
          <w:tcPr>
            <w:tcW w:w="10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Proposal 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Approve the Cohu, Inc., 2026 Equity Incentive Plan. The results were as follows:</w:t>
      </w:r>
    </w:p>
    <w:p>
      <w:pPr>
        <w:pStyle w:val="TextBody"/>
        <w:bidi w:val="0"/>
        <w:spacing w:before="0" w:after="0"/>
        <w:ind w:left="0" w:right="0" w:hanging="0"/>
        <w:jc w:val="left"/>
        <w:rPr/>
      </w:pPr>
      <w:r>
        <w:rPr/>
        <w:t> </w:t>
      </w:r>
    </w:p>
    <w:tbl>
      <w:tblPr>
        <w:tblW w:w="5180" w:type="dxa"/>
        <w:jc w:val="left"/>
        <w:tblInd w:w="0" w:type="dxa"/>
        <w:tblLayout w:type="fixed"/>
        <w:tblCellMar>
          <w:top w:w="0" w:type="dxa"/>
          <w:left w:w="0" w:type="dxa"/>
          <w:bottom w:w="0" w:type="dxa"/>
          <w:right w:w="0" w:type="dxa"/>
        </w:tblCellMar>
      </w:tblPr>
      <w:tblGrid>
        <w:gridCol w:w="60"/>
        <w:gridCol w:w="60"/>
        <w:gridCol w:w="1100"/>
        <w:gridCol w:w="60"/>
        <w:gridCol w:w="1175"/>
        <w:gridCol w:w="60"/>
        <w:gridCol w:w="995"/>
        <w:gridCol w:w="60"/>
        <w:gridCol w:w="155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Votes For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Votes Against</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Abstentions</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Broker Non-Votes</w:t>
            </w:r>
          </w:p>
        </w:tc>
        <w:tc>
          <w:tcPr>
            <w:tcW w:w="60" w:type="dxa"/>
            <w:tcBorders/>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37,846,714</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1,671,677</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288,731</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center"/>
              <w:rPr/>
            </w:pPr>
            <w:r>
              <w:rPr/>
              <w:t>2,683,646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565" w:type="dxa"/>
        <w:jc w:val="left"/>
        <w:tblInd w:w="0" w:type="dxa"/>
        <w:tblLayout w:type="fixed"/>
        <w:tblCellMar>
          <w:top w:w="0" w:type="dxa"/>
          <w:left w:w="0" w:type="dxa"/>
          <w:bottom w:w="0" w:type="dxa"/>
          <w:right w:w="0" w:type="dxa"/>
        </w:tblCellMar>
      </w:tblPr>
      <w:tblGrid>
        <w:gridCol w:w="1025"/>
        <w:gridCol w:w="60"/>
        <w:gridCol w:w="60"/>
        <w:gridCol w:w="60"/>
        <w:gridCol w:w="60"/>
        <w:gridCol w:w="60"/>
        <w:gridCol w:w="60"/>
        <w:gridCol w:w="60"/>
        <w:gridCol w:w="60"/>
        <w:gridCol w:w="60"/>
      </w:tblGrid>
      <w:tr>
        <w:trPr/>
        <w:tc>
          <w:tcPr>
            <w:tcW w:w="10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Proposal 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Approve the Amended and Restated Cohu, Inc., 1997 Employee Stock Purchase Plan. The results were as follows:</w:t>
      </w:r>
    </w:p>
    <w:p>
      <w:pPr>
        <w:pStyle w:val="TextBody"/>
        <w:bidi w:val="0"/>
        <w:spacing w:before="0" w:after="0"/>
        <w:ind w:left="0" w:right="0" w:hanging="0"/>
        <w:jc w:val="left"/>
        <w:rPr/>
      </w:pPr>
      <w:r>
        <w:rPr/>
        <w:t> </w:t>
      </w:r>
    </w:p>
    <w:tbl>
      <w:tblPr>
        <w:tblW w:w="5180" w:type="dxa"/>
        <w:jc w:val="left"/>
        <w:tblInd w:w="0" w:type="dxa"/>
        <w:tblLayout w:type="fixed"/>
        <w:tblCellMar>
          <w:top w:w="0" w:type="dxa"/>
          <w:left w:w="0" w:type="dxa"/>
          <w:bottom w:w="0" w:type="dxa"/>
          <w:right w:w="0" w:type="dxa"/>
        </w:tblCellMar>
      </w:tblPr>
      <w:tblGrid>
        <w:gridCol w:w="60"/>
        <w:gridCol w:w="60"/>
        <w:gridCol w:w="1100"/>
        <w:gridCol w:w="60"/>
        <w:gridCol w:w="1175"/>
        <w:gridCol w:w="60"/>
        <w:gridCol w:w="995"/>
        <w:gridCol w:w="60"/>
        <w:gridCol w:w="155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Votes For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Votes Against</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Abstentions</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Broker Non-Votes</w:t>
            </w:r>
          </w:p>
        </w:tc>
        <w:tc>
          <w:tcPr>
            <w:tcW w:w="60" w:type="dxa"/>
            <w:tcBorders/>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39,339,878</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194,210</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273,034</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center"/>
              <w:rPr/>
            </w:pPr>
            <w:r>
              <w:rPr/>
              <w:t>2,683,646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565" w:type="dxa"/>
        <w:jc w:val="left"/>
        <w:tblInd w:w="0" w:type="dxa"/>
        <w:tblLayout w:type="fixed"/>
        <w:tblCellMar>
          <w:top w:w="0" w:type="dxa"/>
          <w:left w:w="0" w:type="dxa"/>
          <w:bottom w:w="0" w:type="dxa"/>
          <w:right w:w="0" w:type="dxa"/>
        </w:tblCellMar>
      </w:tblPr>
      <w:tblGrid>
        <w:gridCol w:w="1025"/>
        <w:gridCol w:w="60"/>
        <w:gridCol w:w="60"/>
        <w:gridCol w:w="60"/>
        <w:gridCol w:w="60"/>
        <w:gridCol w:w="60"/>
        <w:gridCol w:w="60"/>
        <w:gridCol w:w="60"/>
        <w:gridCol w:w="60"/>
        <w:gridCol w:w="60"/>
      </w:tblGrid>
      <w:tr>
        <w:trPr/>
        <w:tc>
          <w:tcPr>
            <w:tcW w:w="10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Proposal 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ratification of the appointment of Ernst &amp; Young LLP as the Company’s independent registered public accounting firm for fiscal year 2025 was approved. The results were as follows:</w:t>
      </w:r>
    </w:p>
    <w:p>
      <w:pPr>
        <w:pStyle w:val="TextBody"/>
        <w:bidi w:val="0"/>
        <w:spacing w:before="0" w:after="0"/>
        <w:ind w:left="0" w:right="0" w:hanging="0"/>
        <w:jc w:val="left"/>
        <w:rPr/>
      </w:pPr>
      <w:r>
        <w:rPr/>
        <w:t> </w:t>
      </w:r>
    </w:p>
    <w:tbl>
      <w:tblPr>
        <w:tblW w:w="3690" w:type="dxa"/>
        <w:jc w:val="left"/>
        <w:tblInd w:w="0" w:type="dxa"/>
        <w:tblLayout w:type="fixed"/>
        <w:tblCellMar>
          <w:top w:w="0" w:type="dxa"/>
          <w:left w:w="0" w:type="dxa"/>
          <w:bottom w:w="0" w:type="dxa"/>
          <w:right w:w="0" w:type="dxa"/>
        </w:tblCellMar>
      </w:tblPr>
      <w:tblGrid>
        <w:gridCol w:w="60"/>
        <w:gridCol w:w="60"/>
        <w:gridCol w:w="1100"/>
        <w:gridCol w:w="60"/>
        <w:gridCol w:w="1175"/>
        <w:gridCol w:w="60"/>
        <w:gridCol w:w="995"/>
        <w:gridCol w:w="60"/>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Votes For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Votes Against</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Abstentions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40,383,315</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1,725,935</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381,518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860"/>
        <w:gridCol w:w="2945"/>
      </w:tblGrid>
      <w:tr>
        <w:trPr/>
        <w:tc>
          <w:tcPr>
            <w:tcW w:w="8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9.01.</w:t>
            </w:r>
          </w:p>
        </w:tc>
        <w:tc>
          <w:tcPr>
            <w:tcW w:w="29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245"/>
        <w:gridCol w:w="77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7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Exhibit</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ex_960997.htm">
              <w:r>
                <w:rPr>
                  <w:rStyle w:val="InternetLink"/>
                  <w:rFonts w:ascii="Times New Roman;Times;serif" w:hAnsi="Times New Roman;Times;serif"/>
                  <w:sz w:val="20"/>
                </w:rPr>
                <w:t>Amended and Restated Certificate of Incorporation of Cohu, Inc.</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ex_960998.htm">
              <w:r>
                <w:rPr>
                  <w:rStyle w:val="InternetLink"/>
                  <w:rFonts w:ascii="Times New Roman;Times;serif" w:hAnsi="Times New Roman;Times;serif"/>
                  <w:sz w:val="20"/>
                </w:rPr>
                <w:t>Amended and Restated Bylaws of Cohu, Inc.</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700" w:type="dxa"/>
        <w:jc w:val="left"/>
        <w:tblInd w:w="0" w:type="dxa"/>
        <w:tblLayout w:type="fixed"/>
        <w:tblCellMar>
          <w:top w:w="0" w:type="dxa"/>
          <w:left w:w="0" w:type="dxa"/>
          <w:bottom w:w="0" w:type="dxa"/>
          <w:right w:w="0" w:type="dxa"/>
        </w:tblCellMar>
      </w:tblPr>
      <w:tblGrid>
        <w:gridCol w:w="1205"/>
        <w:gridCol w:w="290"/>
        <w:gridCol w:w="4205"/>
      </w:tblGrid>
      <w:tr>
        <w:trPr/>
        <w:tc>
          <w:tcPr>
            <w:tcW w:w="1205"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Cohu, Inc.</w:t>
            </w:r>
          </w:p>
        </w:tc>
      </w:tr>
      <w:tr>
        <w:trPr/>
        <w:tc>
          <w:tcPr>
            <w:tcW w:w="12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15, 2026 </w:t>
            </w:r>
          </w:p>
        </w:tc>
        <w:tc>
          <w:tcPr>
            <w:tcW w:w="2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By:</w:t>
            </w:r>
          </w:p>
        </w:tc>
        <w:tc>
          <w:tcPr>
            <w:tcW w:w="42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Jeffrey D. Jones</w:t>
            </w:r>
          </w:p>
        </w:tc>
      </w:tr>
      <w:tr>
        <w:trPr/>
        <w:tc>
          <w:tcPr>
            <w:tcW w:w="12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Name: Jeffrey D. Jones</w:t>
            </w:r>
          </w:p>
        </w:tc>
      </w:tr>
      <w:tr>
        <w:trPr/>
        <w:tc>
          <w:tcPr>
            <w:tcW w:w="12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Title: Senior VP Finance &amp;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60997.htm"/>
      <w:bookmarkStart w:id="3" w:name="ksex_960997"/>
      <w:bookmarkEnd w:id="2"/>
      <w:bookmarkEnd w:id="3"/>
      <w:r>
        <w:rPr>
          <w:rFonts w:ascii="Times New Roman;Times;serif" w:hAnsi="Times New Roman;Times;serif"/>
          <w:b/>
          <w:sz w:val="20"/>
        </w:rPr>
        <w:t>Exhibit 3.1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AMENDED AND RESTATED</w:t>
        <w:br/>
        <w:t>CERTIFICATE OF INCORPORATION</w:t>
        <w:br/>
        <w:t>OF</w:t>
        <w:br/>
        <w:t>COHU,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Sections 242 and 245 of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Cohu, Inc., a corporation organized and existing under and by virtue of the provisions of the General Corporation Law of the State of Delaware (the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DOES HEREBY CERTIFY: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 That the name of this corporation is Cohu, Inc., and that this corporation was originally incorporated pursuant to the General Corporation Law on January 2, 1957, under the name Cohu Electronics,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2. That the Board of Directors of this corporation (the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RESOLVED, that the Certificate of Incorporation of this corporation be amended and restated in its entirety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ARTICLE FIRST:    The name of the corporation is COHU,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ARTICLE SECOND:    The name and address of its registered agent is The Corporation Trust Company, 1209 Orange Street, Wilmington, Delaware, 19801, located in New Castle County.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ARTICLE THIRD:    The purpose of the Corporation is to engage in any lawful act or activity for which corporations may be organized under the General Corporation Law of the State of Delaware, as from time to time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ARTICLE FOURTH:    The total number of shares of all classes of stock which the Corporation shall have authority to issue is 151,000,000 shares, of which 1,000,000 shares shall constitute Preferred Stock having a par value of $1.00 per share and 150,000,000 shares shall constitute Common Stock having a par value of $1.00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Any of the shares of Preferred Stock may be issued from time to time in one or more series. The Board of Directors, by resolution or resolutions, is authorized to create or provide for any such series, and to fix the designations, preferences and relative, participating, optional or other special rights and qualifications, limitations or restrictions thereof, including, without limitation, the authority to fix or alter the dividend rights, dividend rates, conversion rights, exchange rights, voting rights, rights and terms of redemption (including sinking and purchase fund provisions), the redemption price or prices, the liquidation or dissolution preferences, and the rights in respect to any distribution of assets, of any wholly unissued series of Preferred Stock and the number of shares constituting any such series, and the designation thereof, or any of them and to increase or decrease the number of shares of any series so created subsequent to the issue of any such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Subject to all of the rights of the Preferred Stock, dividends may be paid upon the Common Stock as and when declared by the Board of Directors out of funds legally available for payment of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The entire voting power and all voting rights, except as otherwise required by law, or fixed by resolution or resolutions of the Board of Directors with respect to one or more series of Preferred Stock, shall be vested exclusively in the Common Stock. The amount of either the authorized Preferred Stock or Common Stock, or the amount of both such classes of stock, may be increased or decreased by the affirmative vote of the holders of a majority of the stock of the Corporation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ARTICLE FIFTH: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ARTICLE SIXTH: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ARTICLE SEVENTH: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ARTICLE EIGHTH:    The corporation is to have perpetual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ARTICLE NINTH: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ARTICLE TENTH:    In furtherance and not in limitation of the powers conferred by statute, the Board of Directors is expressly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make, alter or repeal the by laws of the corporation.</w:t>
      </w:r>
    </w:p>
    <w:p>
      <w:pPr>
        <w:pStyle w:val="TextBody"/>
        <w:bidi w:val="0"/>
        <w:spacing w:before="0" w:after="283"/>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ARTICLE ELEVENTH:    Meetings of stockholders may be held outside the State of Delaware, if the by-laws so provide. The books of the corporation may be kept (subject to any provision contained in the statutes) outside the State of Delaware at such place or places as may be designated from time to time by the Board of Directors or in the by laws of the corporation. Elections of directors need not be by ballot unless the by laws of the corporation shall so provide.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ARTICLE TWELFTH:    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ARTICLE THIRTEENTH:    Every shareholder entitled to vote at any election of directors of this company may cumulate his votes and give one candidate a number of votes equal to the number of directors to be elected multiplied by the number of votes to which his shares are entitled, or distribute his votes on the same principle among as many candidates as he thinks 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ARTICLE FOURTEENTH:    The Board of Directors of this Corporation is divided into three classes, Class 1, Class 2 and Class 3. The number of Directors in each class shall be the whole number contained in the quotient arrived at by dividing the authorized number of Directors by three, and if a fraction is also contained in such quotient, then if such fraction is one-third, the extra Director shall be a member of Class 3, and if the fraction is two-thirds, one of the Directors shall be a member of Class 3 and the other shall be a member of Class 2. Each Director shall serve for a term ending on the date of the third annual meeting following that at which such Director is elected, and Directors of only one class shall be elected at any annual meeting, except as hereinafter provided. The Directors elected at the meeting of stockholders at which the Amendment to the Certificate of Incorporation of this Corporation to include this Article is approved shall determine which of them shall belong to Class 1, which to Class 2, and which to Class 3 by resolution of the Board, which resolution when adopted may not be amended or rescinded. Those so determined as belonging to Class 1 shall serve for a term ending on the annual meeting date next following, those so determined as belonging to Class 2 shall serve for a term ending on the second annual meeting date next following, and those so determined as belonging to Class 3 shall serve a full term as hereinabove provided. The foregoing notwithstanding, each Director shall serve until a successor shall have been duly elected and qualified unless he shall resign, become disqualified, die or shall be removed for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ARTICLE FIFTEENTH:    In the event that it is proposed that this Corporation enter into a “business combination” (as hereinafter defined) with any other corporation and such corporation or its affiliates singly or in the aggregate own or control directly or indirectly five (5%) percent or more of the outstanding shares of the common stock of this Corporation (such corporation and its affiliates being referred to herein as a “related party”), the affirmative vote of the holders of not less than 80% of the total voting power of all outstanding shares of stock of this Corporation shall be required for the approval of such proposal; provided, however, that the foregoing shall not apply to any business combination which was approved by resolution of the Board of Directors of this Corporation prior to the acquisition of the ownership or control of ten (10%) percent of the outstanding shares of this Corporation by such related party, nor shall it apply to any business combination between this Corporation and another Corporation, fifty (50%) percent or more of the voting stock of which is owned by this Corporation, and none of which is owned or controlled by a related party, provided that each stockholder of this Corporation receives the same type of consideration in such transaction in proportion to his stockholding. For the purposes hereof, an “affiliate” is any person (including a corporation, partnership, trust, estate or individual) who directly or indirectly, through one or more intermediaries, controls or is controlled by or is under common control with the person specified, and “control” means the possession directly or indirectly of the power to direct or cause the direction of management and policies of a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purposes hereof, the term “business combination” shall mean (a) any merger or consolidation of or with this Corporation, (b) any sale, lease, exchange, transfer or other disposition, including without limitation a mortgage or other security device, of all or any substantial part of the assets of this Corporation or any subsidiary of this Corporation, (c) the acquisition by this Corporation or subsidiary of this Corporation of any securities of a related person, (d) the issuance of any shares of this Corporation or any subsidiary to a related person, or (e) any agreement, contract or other arrangement providing for any of the transactions described in this definition of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ARTICLE SIXTEENTH:    Action shall be taken by stockholders only at an annual or special meeting of stockholders, and stockholders may not act by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ARTICLE SEVENTEENTH:    The by-laws of this Corporation may be adopted, altered, amended or repealed at any time by affirmative vote of a majority of the authorized number of Directors of this Corporation, and may also be altered, amended or repealed at any annual meeting, or at any special meeting of stockholders duly called for the purpose, by the affirmative vote of the holders of not less than 80% of the issued and outstanding shares of the stock of this Corporation, in any manner not prohibited by this Certificate of Incorporation or by the Delaware Corporation Law as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ARTICLE EIGHTEENTH:    The provisions set forth in Articles Fourteenth, Fifteenth, Sixteenth, and Seventeenth and in this Article Eighteenth may not be repealed or amended in any respect unless such repeal or amendment is approved by the affirmative vote of the holders of not less than 80% of the total voting power of all outstanding shares of stock of this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ARTICLE NINETEENTH:    No director or officer of the Corporation shall be liable to the Corporation or its stockholders for monetary damages for breach of fiduciary duty as a director or officer, as applicable, except to the extent such an exemption from liability or limitation thereof is not permitted under the Delaware General Corporation Law (the “DGCL”) as presently in effect or as the same may hereafter be amended. No amendment to or repeal of this provision shall apply to or have any effect on the liability or alleged liability of any director or officer of the Corporation for or with respect to any acts or omissions of such director or officer occurring prior to such amendment or repeal.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ARTICLE TWENTIETH: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portion of any paragraph of this Certificate of Incorporation containing any such provision held to be invalid, illegal or unenforceable) shall be construed so as to permit the Company to protect its directors, officers, employees and agents from personal liability in respect of their good faith service or for the benefit of the Company to the fullest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That this Certificate of Incorporation, which restates and integrates and further amends the provisions of the Corporation’s Certificate of Incorporation, has been duly adopted in accordance with Sections 242 and 245 of the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i/>
          <w:caps w:val="false"/>
          <w:smallCaps w:val="false"/>
          <w:sz w:val="20"/>
        </w:rPr>
        <w:t>[</w:t>
      </w:r>
      <w:r>
        <w:rPr>
          <w:rFonts w:ascii="Times New Roman" w:hAnsi="Times New Roman"/>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Amended and Restated Certificate of Incorporation has been executed by a duly authorized officer of the Corporation on 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26"/>
        <w:gridCol w:w="353"/>
        <w:gridCol w:w="3733"/>
        <w:gridCol w:w="1193"/>
      </w:tblGrid>
      <w:tr>
        <w:trPr/>
        <w:tc>
          <w:tcPr>
            <w:tcW w:w="4926" w:type="dxa"/>
            <w:tcBorders/>
          </w:tcPr>
          <w:p>
            <w:pPr>
              <w:pStyle w:val="TableContents"/>
              <w:bidi w:val="0"/>
              <w:spacing w:before="0" w:after="0"/>
              <w:ind w:left="0" w:right="0" w:hanging="0"/>
              <w:jc w:val="left"/>
              <w:rPr/>
            </w:pPr>
            <w:r>
              <w:rPr/>
              <w:t> </w:t>
            </w:r>
          </w:p>
        </w:tc>
        <w:tc>
          <w:tcPr>
            <w:tcW w:w="4086"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Cohu, Inc.</w:t>
            </w:r>
          </w:p>
        </w:tc>
        <w:tc>
          <w:tcPr>
            <w:tcW w:w="1193" w:type="dxa"/>
            <w:tcBorders/>
          </w:tcPr>
          <w:p>
            <w:pPr>
              <w:pStyle w:val="TableContents"/>
              <w:bidi w:val="0"/>
              <w:spacing w:before="0" w:after="0"/>
              <w:ind w:left="0" w:right="0" w:hanging="0"/>
              <w:jc w:val="left"/>
              <w:rPr/>
            </w:pPr>
            <w:r>
              <w:rPr/>
              <w:t> </w:t>
            </w:r>
          </w:p>
        </w:tc>
      </w:tr>
      <w:tr>
        <w:trPr/>
        <w:tc>
          <w:tcPr>
            <w:tcW w:w="4926" w:type="dxa"/>
            <w:tcBorders/>
          </w:tcPr>
          <w:p>
            <w:pPr>
              <w:pStyle w:val="TableContents"/>
              <w:bidi w:val="0"/>
              <w:spacing w:before="0" w:after="0"/>
              <w:ind w:left="0" w:right="0" w:hanging="0"/>
              <w:jc w:val="left"/>
              <w:rPr/>
            </w:pPr>
            <w:r>
              <w:rPr/>
              <w:t> </w:t>
            </w:r>
          </w:p>
        </w:tc>
        <w:tc>
          <w:tcPr>
            <w:tcW w:w="353" w:type="dxa"/>
            <w:tcBorders/>
          </w:tcPr>
          <w:p>
            <w:pPr>
              <w:pStyle w:val="TableContents"/>
              <w:bidi w:val="0"/>
              <w:spacing w:before="0" w:after="0"/>
              <w:ind w:left="0" w:right="0" w:hanging="0"/>
              <w:jc w:val="left"/>
              <w:rPr/>
            </w:pPr>
            <w:r>
              <w:rPr/>
              <w:t> </w:t>
            </w:r>
          </w:p>
        </w:tc>
        <w:tc>
          <w:tcPr>
            <w:tcW w:w="3733" w:type="dxa"/>
            <w:tcBorders/>
          </w:tcPr>
          <w:p>
            <w:pPr>
              <w:pStyle w:val="TableContents"/>
              <w:bidi w:val="0"/>
              <w:spacing w:before="0" w:after="0"/>
              <w:ind w:left="0" w:right="0" w:hanging="0"/>
              <w:jc w:val="left"/>
              <w:rPr/>
            </w:pPr>
            <w:r>
              <w:rPr/>
              <w:t> </w:t>
            </w:r>
          </w:p>
        </w:tc>
        <w:tc>
          <w:tcPr>
            <w:tcW w:w="1193" w:type="dxa"/>
            <w:tcBorders/>
          </w:tcPr>
          <w:p>
            <w:pPr>
              <w:pStyle w:val="TableContents"/>
              <w:bidi w:val="0"/>
              <w:spacing w:before="0" w:after="0"/>
              <w:ind w:left="0" w:right="0" w:hanging="0"/>
              <w:jc w:val="left"/>
              <w:rPr/>
            </w:pPr>
            <w:r>
              <w:rPr/>
              <w:t> </w:t>
            </w:r>
          </w:p>
        </w:tc>
      </w:tr>
      <w:tr>
        <w:trPr/>
        <w:tc>
          <w:tcPr>
            <w:tcW w:w="4926" w:type="dxa"/>
            <w:tcBorders/>
          </w:tcPr>
          <w:p>
            <w:pPr>
              <w:pStyle w:val="TableContents"/>
              <w:bidi w:val="0"/>
              <w:spacing w:before="0" w:after="0"/>
              <w:ind w:left="0" w:right="0" w:hanging="0"/>
              <w:jc w:val="left"/>
              <w:rPr/>
            </w:pPr>
            <w:r>
              <w:rPr/>
              <w:t> </w:t>
            </w:r>
          </w:p>
        </w:tc>
        <w:tc>
          <w:tcPr>
            <w:tcW w:w="353" w:type="dxa"/>
            <w:tcBorders/>
          </w:tcPr>
          <w:p>
            <w:pPr>
              <w:pStyle w:val="TableContents"/>
              <w:bidi w:val="0"/>
              <w:spacing w:before="0" w:after="0"/>
              <w:ind w:left="0" w:right="0" w:hanging="0"/>
              <w:jc w:val="left"/>
              <w:rPr/>
            </w:pPr>
            <w:r>
              <w:rPr/>
              <w:t> </w:t>
            </w:r>
          </w:p>
        </w:tc>
        <w:tc>
          <w:tcPr>
            <w:tcW w:w="3733" w:type="dxa"/>
            <w:tcBorders/>
            <w:vAlign w:val="bottom"/>
          </w:tcPr>
          <w:p>
            <w:pPr>
              <w:pStyle w:val="TableContents"/>
              <w:bidi w:val="0"/>
              <w:spacing w:before="0" w:after="0"/>
              <w:ind w:left="0" w:right="0" w:hanging="0"/>
              <w:jc w:val="left"/>
              <w:rPr/>
            </w:pPr>
            <w:r>
              <w:rPr/>
              <w:t> </w:t>
            </w:r>
          </w:p>
        </w:tc>
        <w:tc>
          <w:tcPr>
            <w:tcW w:w="1193" w:type="dxa"/>
            <w:tcBorders/>
          </w:tcPr>
          <w:p>
            <w:pPr>
              <w:pStyle w:val="TableContents"/>
              <w:bidi w:val="0"/>
              <w:spacing w:before="0" w:after="0"/>
              <w:ind w:left="0" w:right="0" w:hanging="0"/>
              <w:jc w:val="left"/>
              <w:rPr/>
            </w:pPr>
            <w:r>
              <w:rPr/>
              <w:t> </w:t>
            </w:r>
          </w:p>
        </w:tc>
      </w:tr>
      <w:tr>
        <w:trPr/>
        <w:tc>
          <w:tcPr>
            <w:tcW w:w="4926" w:type="dxa"/>
            <w:tcBorders/>
          </w:tcPr>
          <w:p>
            <w:pPr>
              <w:pStyle w:val="TableContents"/>
              <w:bidi w:val="0"/>
              <w:spacing w:before="0" w:after="0"/>
              <w:ind w:left="0" w:right="0" w:hanging="0"/>
              <w:jc w:val="left"/>
              <w:rPr/>
            </w:pPr>
            <w:r>
              <w:rPr/>
              <w:t> </w:t>
            </w:r>
          </w:p>
        </w:tc>
        <w:tc>
          <w:tcPr>
            <w:tcW w:w="35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3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 xml:space="preserve">/s/ </w:t>
            </w:r>
            <w:r>
              <w:rPr>
                <w:rFonts w:ascii="Times New Roman;Times;serif" w:hAnsi="Times New Roman;Times;serif"/>
                <w:i/>
                <w:sz w:val="20"/>
                <w:u w:val="single"/>
              </w:rPr>
              <w:t>Emily Lough</w:t>
            </w:r>
          </w:p>
        </w:tc>
        <w:tc>
          <w:tcPr>
            <w:tcW w:w="1193" w:type="dxa"/>
            <w:tcBorders/>
          </w:tcPr>
          <w:p>
            <w:pPr>
              <w:pStyle w:val="TableContents"/>
              <w:bidi w:val="0"/>
              <w:spacing w:before="0" w:after="0"/>
              <w:ind w:left="0" w:right="0" w:hanging="0"/>
              <w:jc w:val="left"/>
              <w:rPr/>
            </w:pPr>
            <w:r>
              <w:rPr/>
              <w:t> </w:t>
            </w:r>
          </w:p>
        </w:tc>
      </w:tr>
    </w:tbl>
    <w:tbl>
      <w:tblPr>
        <w:tblW w:w="10205" w:type="dxa"/>
        <w:jc w:val="left"/>
        <w:tblInd w:w="0" w:type="dxa"/>
        <w:tblLayout w:type="fixed"/>
        <w:tblCellMar>
          <w:top w:w="0" w:type="dxa"/>
          <w:left w:w="0" w:type="dxa"/>
          <w:bottom w:w="0" w:type="dxa"/>
          <w:right w:w="0" w:type="dxa"/>
        </w:tblCellMar>
      </w:tblPr>
      <w:tblGrid>
        <w:gridCol w:w="4789"/>
        <w:gridCol w:w="519"/>
        <w:gridCol w:w="3725"/>
        <w:gridCol w:w="1172"/>
      </w:tblGrid>
      <w:tr>
        <w:trPr/>
        <w:tc>
          <w:tcPr>
            <w:tcW w:w="4789" w:type="dxa"/>
            <w:tcBorders/>
          </w:tcPr>
          <w:p>
            <w:pPr>
              <w:pStyle w:val="TableContents"/>
              <w:bidi w:val="0"/>
              <w:spacing w:before="0" w:after="0"/>
              <w:ind w:left="0" w:right="0" w:hanging="0"/>
              <w:jc w:val="left"/>
              <w:rPr/>
            </w:pPr>
            <w:r>
              <w:rPr/>
              <w:t> </w:t>
            </w:r>
          </w:p>
        </w:tc>
        <w:tc>
          <w:tcPr>
            <w:tcW w:w="51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2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Emily Lough</w:t>
            </w:r>
          </w:p>
        </w:tc>
        <w:tc>
          <w:tcPr>
            <w:tcW w:w="1172" w:type="dxa"/>
            <w:tcBorders/>
          </w:tcPr>
          <w:p>
            <w:pPr>
              <w:pStyle w:val="TableContents"/>
              <w:bidi w:val="0"/>
              <w:spacing w:before="0" w:after="0"/>
              <w:ind w:left="0" w:right="0" w:hanging="0"/>
              <w:jc w:val="left"/>
              <w:rPr/>
            </w:pPr>
            <w:r>
              <w:rPr/>
              <w:t> </w:t>
            </w:r>
          </w:p>
        </w:tc>
      </w:tr>
      <w:tr>
        <w:trPr/>
        <w:tc>
          <w:tcPr>
            <w:tcW w:w="4789" w:type="dxa"/>
            <w:tcBorders/>
          </w:tcPr>
          <w:p>
            <w:pPr>
              <w:pStyle w:val="TableContents"/>
              <w:bidi w:val="0"/>
              <w:spacing w:before="0" w:after="0"/>
              <w:ind w:left="0" w:right="0" w:hanging="0"/>
              <w:jc w:val="left"/>
              <w:rPr/>
            </w:pPr>
            <w:r>
              <w:rPr/>
              <w:t> </w:t>
            </w:r>
          </w:p>
        </w:tc>
        <w:tc>
          <w:tcPr>
            <w:tcW w:w="51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2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General</w:t>
              <w:br/>
              <w:t>Counsel and Secretary</w:t>
            </w:r>
          </w:p>
        </w:tc>
        <w:tc>
          <w:tcPr>
            <w:tcW w:w="1172"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6</w:t>
      </w:r>
    </w:p>
    <w:p>
      <w:pPr>
        <w:pStyle w:val="TextBody"/>
        <w:bidi w:val="0"/>
        <w:spacing w:before="0" w:after="0"/>
        <w:ind w:left="0" w:right="0" w:hanging="0"/>
        <w:jc w:val="right"/>
        <w:rPr>
          <w:rFonts w:ascii="Times New Roman;Times;serif" w:hAnsi="Times New Roman;Times;serif"/>
          <w:b/>
          <w:sz w:val="20"/>
        </w:rPr>
      </w:pPr>
      <w:bookmarkStart w:id="4" w:name="ex_960998.htm"/>
      <w:bookmarkStart w:id="5" w:name="ksex_960998"/>
      <w:bookmarkEnd w:id="4"/>
      <w:bookmarkEnd w:id="5"/>
      <w:r>
        <w:rPr>
          <w:rFonts w:ascii="Times New Roman;Times;serif" w:hAnsi="Times New Roman;Times;serif"/>
          <w:b/>
          <w:sz w:val="20"/>
        </w:rPr>
        <w:t>Exhibit 3.2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Amended and Restated as of 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w:t>
      </w:r>
      <w:r>
        <w:rPr>
          <w:rFonts w:ascii="Times New Roman" w:hAnsi="Times New Roman"/>
          <w:caps w:val="false"/>
          <w:smallCaps w:val="false"/>
          <w:sz w:val="20"/>
        </w:rPr>
        <w:br/>
        <w:t>MEETINGS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w:t>
      </w:r>
      <w:r>
        <w:rPr>
          <w:rFonts w:ascii="Times New Roman" w:hAnsi="Times New Roman"/>
          <w:caps w:val="false"/>
          <w:smallCaps w:val="false"/>
          <w:sz w:val="20"/>
        </w:rPr>
        <w:t>    All meetings of the stockholders may be held at such time and place, within or without the State of Delaware, as shall be stated in the notice of the meeting or in a duly executed waiver of notice thereof. The Board of Directors of the Corporation (the “Board of Directors” or “the Board”) may, in its sole discretion, determine that a meeting of stockholders shall not be held at any place, but may instead be held solely by means of remote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w:t>
      </w:r>
      <w:r>
        <w:rPr>
          <w:rFonts w:ascii="Times New Roman" w:hAnsi="Times New Roman"/>
          <w:caps w:val="false"/>
          <w:smallCaps w:val="false"/>
          <w:sz w:val="20"/>
        </w:rPr>
        <w:t>    An annual meeting of stockholders for the election of directors shall be held each fiscal year at such date and time, within or without the State of Delaware, as shall be designated by the Board of Directors. Any other proper business may be transacted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an annual meeting of the stockholders, only such business shall be conducted as shall have been properly brought before the meeting. To be properly brought before an annual meeting, business must be (a) specified in the notice of meeting (or any supplement thereto) given by or at the direction of the Board of Directors, (b) properly brought before the meeting by or at the direction of the Board of Directors, or (c) properly brought before an annual meeting by a stockholder. For business to be properly brought before an annual meeting by a stockholder, the stockholder must have given timely notice thereof in writing to the Secretary of the Corporation. To be timely, a stockholder proposal to be presented at an annual meeting shall be received by the Secretary at the Corporation’s principal executive offices not earlier than the close of business on the one hundred fiftieth (150th) day nor later than the close of business on the one hundred twentieth (120th) day in advance of the date that the Corporation’s (or the Corporation’s predecessor’s) definitive proxy statement was released to stockholders in connection with the previous year’s annual meeting of stockholders, except that if no annual meeting was held in the previous year or the date of the annual meeting is more than thirty (30) calendar days before or more than seventy (70) days after the anniversary of the previous year’s annual meeting, notice by the stockholders to be timely must be received not earlier than the close of business on the one hundred twentieth (120th) day prior to such annual meeting and not later than the close of business on the later of the ninetieth (90th) day prior to such annual meeting or, if the first public announcement of the date of such annual meeting is less than 100 days prior to the date of such annual meeting, the close of business on the tenth (10th) day following the day on which the date of the annual meeting is publicly announced. In no event shall the public announcement of an adjournment or postponement of an annual meeting commence a new time period (or extend any time period) for the giving of a stockholder’s notice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stockholder’s notice to the Secretary of the Corporation shall set forth as to each matter the stockholder proposes to bring before the annual meeting (a) if the notice relates to any business other than a nomination of a director or directors that the stockholder proposes to bring before the meeting, a brief description of the business desired to be brought before the annual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stockholder and the beneficial owner, if any, or any affiliate or associate thereof or person acting in concert therewith (each a “Stockholder Associated Person”) or on whose behalf the proposal is made, a description of all agreements, arrangements and understandings between such stockholder, beneficial owner, if any, or Stockholder Associated Person and any other person or persons (including their names) in connection with the proposal of such business by such stockholder, and any other information relating to such item of business that would be required to be disclosed in a proxy statement or other filing required to be made in connection with solicitations of proxies in support of the business proposed to be brought before the meeting pursuant to Regulation 14A under the Exchange Act, (b) as to each person, if any, whom the stockholder proposes to nominate for election or reelection as a director (i) all information relating to such person that would be required to be disclosed in a proxy statement or other filings required to be made in connection with solicitations of proxies for election of directors in contested election, or is otherwise required, in each case pursuant to and in accordance with Regulation 14A under the Exchange Act, (ii) such person’s written consent to being named in the proxy statement and accompanying proxy card as a nominee and to serving as a director if elected and (iii) a description of all direct and indirect compensation and other material monetary agreements, arrangements and understandings during the past three years, and any other material relationships, between or among such stockholder, beneficial owner, if any, or Stockholder Associated Person on whose behalf the nomination is being made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or any Stockholder Associated Person, were the “registrant” for purposes of such rule and the nominee were a director or executive officer of such registrant, (c) as to the stockholder giving the notice, the beneficial owner and/or any Stockholder Associated Person, if any, on whose behalf the nomination or proposal is made (i) the name and address, as they appear on the Corporation’s books, of the stockholder proposing such business, (ii) the class and number of shares of the Corporation which are, directly or indirectly, beneficially owned and of record by such stockholder, such beneficial owner and/or such Stockholder Associated Person and any convertible security directly or indirectly owned by such stockholder, such beneficial owner and/or Stockholder Associated Person, (iii) a description of any agreement, arrangement or understanding with respect to the nomination or proposal between or among such stockholder, such beneficial owner, and/or such Stockholder Associated Person, any of their respective affiliates or associates, and any others acting in concert with any of the foregoing, (iv) a representation that the stockholder is a holder of record of stock of the Corporation entitled to vote at such meeting and intends to appear in person or by proxy at the meeting to propose such business or nomination, (v)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such beneficial owners, and/or such Stockholder Associated Person,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such beneficial owner, and/or such Stockholder Associated Person with respect to securities of the Corporation, (vi) any other material interest of the stockholder in such business, (vii) a representation as to whether the stockholder, the beneficial owner, if any, and/or such Stockholder Associated Person, if any, intends or is part of a group which intends (1) to solicit proxies from the required number of the Corporation’s voting shares in support of such director nominees in accordance with and as required by Rule 14a-19 promulgated under the Exchange Act, and (2) to deliver a proxy statement and/or form of proxy to holders of at least the percentage of the Corporation's voting shares required to approve or adopt the proposal or elect the nominee, and (viii) any other information relating to such stockholder, beneficial owner, if any, and/or such Stockholder Associated Person, if any,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promulgated thereunder.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Such notice must also be accompanied by a representation as to whether or not such stockholder, beneficial owner and/or any Stockholder Associated Person intends to solicit proxies in support of any director nominees other than the corporation’s nominees in accordance with Rule 14a-19 under the Exchange Act, and, where such stockholder, beneficial owner and/or Stockholder Associated Person intends to so solicit proxies, the notice and information required by Rule 14a-19(b) under the Exchange Act. Notwithstanding anything to the contrary in these bylaws, unless otherwise required by law, if any stockholder, beneficial owner and/or Stockholder Associated Person (i) provides notice pursuant to Rule 14a-19(b) under the Exchange Act and (ii) subsequently fails to comply with the requirements of Rule 14a-19(a)(2) and Rule 14a-19(a)(3) under the Exchange Act (or fails to timely provide reasonable evidence sufficient to satisfy the corporation that such stockholder, beneficial owner and/or Stockholder Associated Person has met the requirements of Rule 14a-19(a)(3) promulgated under the Exchange Act in accordance with the following sentence), then the nomination of each of the director nominees proposed by such stockholder, beneficial owner and/or Stockholder Associated Person shall be disregarded, notwithstanding that proxies or votes in respect of the election of such proposed nominees may have been received by the corporation (which proxies and votes shall be disregarded). Upon request by the corporation, if any stockholder, beneficial owner and/or Stockholder Associated Person provides notice pursuant to Rule 14a-19(b) under the Exchange Act, such stockholder, beneficial owner and/or Stockholder Associated Person shall deliver to the corporation, no later than five (5) business days prior to the applicable meeting, reasonable evidence that it has met the requirements of Rule 14a-19(a)(3)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foregoing, a stockholder’s notice as described in this Section 2 shall be further updated and supplemented, if necessary, so that the information provided or required to be provided in such notice is true and correct in all material respects as of (i) the record date for the meeting and (ii) the date that is ten (10) business days prior to the meeting or any adjournment, recess or postponement thereof, and such update and supplement shall be delivered to the Secretary at the Corporation’s principal executive offices by the later of five (5) business days after the record date for the meeting or the deadline for the delivery of the stockholder’s notice, in the case of the update and supplement required to be made as of the record date, and not later than eight (8) business days prior to the date for the meeting or any adjournment, recess or postponement thereof in the case of the update and supplement required to be made ten (10) business days prior to the meeting or any adjournment, recess or postponement thereof. The obligation to update and supplement as set forth in this paragraph or any other Section or Article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business proposal or to submit any new nomination or business proposal, including by changing or adding nominees, matters, business and/or resolutions proposed to be brought before a meeting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3</w:t>
      </w:r>
      <w:r>
        <w:rPr>
          <w:rFonts w:ascii="Times New Roman" w:hAnsi="Times New Roman"/>
          <w:caps w:val="false"/>
          <w:smallCaps w:val="false"/>
          <w:sz w:val="20"/>
        </w:rPr>
        <w:t>    Written notice of all meetings of the stockholders, stating the place, if any, date and time of the meeting, the means of remote communications, if any, by which stockholders and proxy holders may be deemed to be present in person and vote at such meeting, the place at which the list of stockholders may be examined, and the purpose or purposes for which the meeting is to be held, shall be mailed or otherwise delivered (including pursuant to electronic transmission in the manner provided in Section 232 of the General Corporation Law of the State of Delaware, except to the extent prohibited by Section 232(e) of the General Corporation Law of the State of Delaware) to each stockholder of record entitled to vote thereat not less than ten days nor more than sixty days before the date of the meeting and shall otherwise comply with applicable law. If mailed, such notice shall be deemed to be delivered when deposited in the United States mail with postage thereon prepaid, addressed to the stockholder at his or her address as it appears on the stock transfer books of the Corporation. Such further notice shall be given as may be required by law. If notice is given by electronic transmission, such notice shall be deemed to be given at the times provided in the General Corporation Law of the State of Delaware. Such further notice shall be given as may be required by law. Meetings may be held without notice if all stockholders entitled to vote are present, or if notice is waived by those not present in accordance with these Bylaws. Any previously scheduled meeting of the stockholders may be postponed, and (unless the Corporation’s Amended and Restated Certificate of Incorporation (the “Certificate of Incorporation”) otherwise provides) any special meeting of the stockholders may be cancelled, by resolution of the Board of Directors upon public notice given prior to the date previously scheduled for such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w:t>
      </w:r>
      <w:r>
        <w:rPr>
          <w:rFonts w:ascii="Times New Roman" w:hAnsi="Times New Roman"/>
          <w:caps w:val="false"/>
          <w:smallCaps w:val="false"/>
          <w:sz w:val="20"/>
        </w:rPr>
        <w:t>    The officer who has charge of the stock ledger of the Corporation shall prepare and make, at least ten (10) days before every meeting, a complete list of the stockholders of record entitled to vote at said election, arranged in alphabetical order with the number of voting shares held by each. Such list shall be open to the examination of any stockholder, for any purpose germane to the meeting, for a period of ten (10) days ending on the day before the meeting date, either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w:t>
      </w:r>
      <w:r>
        <w:rPr>
          <w:rFonts w:ascii="Times New Roman" w:hAnsi="Times New Roman"/>
          <w:caps w:val="false"/>
          <w:smallCaps w:val="false"/>
          <w:sz w:val="20"/>
        </w:rPr>
        <w:t>    Special meetings of the stockholders for any purpose or purposes, unless otherwise prescribed by statute or by the Certificate of Incorporation, shall be called only by the President or Secretary at the request, in writing, of a majority of the authorized number of directors, or the affirmative vote of a majority of the authorized number of directors, except that the President or Secretary also shall call a special meeting of stockholders at the request, in writing, of stockholders owning a majority of the issued and outstanding capital stock of the Corporation provided such meeting is for the sole purpose of considering the removal from office of a director who has been convicted of a felony by a court of competent jurisdiction and such conviction is no longer subject to a direct repeal, or a director who has been adjudged to be liable for negligence or misconduct in the performance of his or her duty to the Corporation by a court of competent jurisdiction and such adjudication is no longer subject to direct appeal.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6</w:t>
      </w:r>
      <w:r>
        <w:rPr>
          <w:rFonts w:ascii="Times New Roman" w:hAnsi="Times New Roman"/>
          <w:caps w:val="false"/>
          <w:smallCaps w:val="false"/>
          <w:sz w:val="20"/>
        </w:rPr>
        <w:t>    Written notice of a special meeting of stockholders, stating the time, place and object thereof, shall be given to each stockholder entitled to vote thereat, in accordance with Section 3 of this Article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w:t>
      </w:r>
      <w:r>
        <w:rPr>
          <w:rFonts w:ascii="Times New Roman" w:hAnsi="Times New Roman"/>
          <w:caps w:val="false"/>
          <w:smallCaps w:val="false"/>
          <w:sz w:val="20"/>
        </w:rPr>
        <w:t>    Business transacted at any special meeting of stockholders shall be limited to the purposes stated in the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8</w:t>
      </w:r>
      <w:r>
        <w:rPr>
          <w:rFonts w:ascii="Times New Roman" w:hAnsi="Times New Roman"/>
          <w:caps w:val="false"/>
          <w:smallCaps w:val="false"/>
          <w:sz w:val="20"/>
        </w:rPr>
        <w:t>    The holders of a majority of the stock issued and outstanding and entitled to vote thereat, present in person or by remote communication, if applicable,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presented or represented, any business may be transacted which might have been transacted at the meeting as originally notified. When a meeting is adjourned to another time or place, if any, including an adjournment taken to address a technical failure to convene or continue a meeting using remote communication, notice need not be given of the adjourned meeting if the time and place, if any, thereof and the means of remote communication, if any, by which stockholders and proxy holders may be deemed present in person and may vote at such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3 of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w:t>
      </w:r>
      <w:r>
        <w:rPr>
          <w:rFonts w:ascii="Times New Roman" w:hAnsi="Times New Roman"/>
          <w:caps w:val="false"/>
          <w:smallCaps w:val="false"/>
          <w:sz w:val="20"/>
        </w:rPr>
        <w:t>    At any meeting of stockholders for the election of one or more directors at which a quorum is present, a nominee for director shall be elected to the Board of Directors if the votes cast for such nominee's election exceed the votes cast against such nominee's election; provided, however, that directors shall be elected by a plurality of the votes cast at any meeting of stockholders for which (i) the Secretary of the Corporation receives a notice that a stockholder has nominated a person for election to the Board of Directors in compliance with the advance notice requirements for stockholder nominees for director set forth in Article I, Section 2 of these Bylaws and (ii) such nomination has not been withdrawn by such stockholder on or prior to the day next preceding the date the Corporation first mails its notice of meeting for such meeting to the stockholders. If directors are to be elected by a plurality of the votes cast, stockholders shall not be permitted to vote against a nominee. Except as otherwise required by law or the Certificate of Incorporation, all other matters shall be determined by a majority of the votes cast affirmatively or negatively.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w:t>
      </w:r>
      <w:r>
        <w:rPr>
          <w:rFonts w:ascii="Times New Roman" w:hAnsi="Times New Roman"/>
          <w:caps w:val="false"/>
          <w:smallCaps w:val="false"/>
          <w:sz w:val="20"/>
        </w:rPr>
        <w:t>    Each stockholder shall at every meeting of the stockholders be entitled to one vote for each share of capital stock having voting power held by such stockholder. Such vote may be evidenced (i) in person; (ii) by proxy authorized by an instrument in writing; or (iii) by a transmission permitted by law filed in accordance with the procedure established for the meeting. No stockholder may authorize more than one proxy for his or her shares. No proxy shall be voted on after three years from its date, unless the proxy provides for a longer period, and, except where the transfer books of the Corporation have been closed or a date has been fixed as a record date for the determination of its stockholders entitled to vote, no share of stock shall be voted on at any election of directors which has been transferred on the books of the Corporation within twenty days preceding such election of directors. Any stockholder directly or indirectly soliciting proxies from other stockholders must use a proxy card color other than white, the color white being reserved for the exclusive use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w:t>
      </w:r>
      <w:r>
        <w:rPr>
          <w:rFonts w:ascii="Times New Roman" w:hAnsi="Times New Roman"/>
          <w:caps w:val="false"/>
          <w:smallCaps w:val="false"/>
          <w:sz w:val="20"/>
        </w:rPr>
        <w:t>    Action shall be taken by stockholders only at an annual or special meeting of stockholders, and stockholders may not act by written consent, except as may be provided in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12</w:t>
      </w:r>
      <w:r>
        <w:rPr>
          <w:rFonts w:ascii="Times New Roman" w:hAnsi="Times New Roman"/>
          <w:caps w:val="false"/>
          <w:smallCaps w:val="false"/>
          <w:sz w:val="20"/>
        </w:rPr>
        <w:t>    At every annual or special meeting of the stockholders, the Chairperson of the Board of Directors (the “Board Chair”), if there is such an officer, or if not, the President of the corporation, or in his or her absence the Vice President designated by the President, or in the absence of such designation any Vice President, or in the absence of the President or any Vice President, a chair chosen by the majority of the voting shares represented in person or by proxy, shall act as meeting Chair (the “Chair”). The Secretary of the corporation or a person designated by the Chair shall act as Secretary of the meeting. Unless otherwise approved by the Chair, attendance at the stockholders’ meeting is restricted to stockholders of record, persons authorized in accordance with Section 10 of Article I of these Bylaws to act by proxy, and officers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Chair of the meeting shall call the meeting to order, establish the agenda, and conduct the business of the meeting in accordance therewith or, at the Chair’s discretion, it may be conducted otherwise in accordance with the wishes of the stockholders in attendance. The date and time of the opening and closing of the polls for each matter upon which the stockholders will vote at the meeting shall be announced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Chair shall also conduct the meeting in an orderly manner, rule on the precedence of, and procedure on, motions and other procedural matters, and exercise discretion with respect to such procedural matters with fairness and good faith toward all those entitled to take part. The Chair may impose reasonable limits on the amount of time taken up at the meeting on discussion in general or on remarks by any one stockholder. Should any person in attendance become unruly or obstruct the meeting proceedings, the Chair shall have the power to have such person removed from participation. Notwithstanding anything in the Bylaws to the contrary, no business shall be conducted at a meeting except in accordance with the procedures set forth in this Section 12 and Sections 2, 5 and 7 of this Article. The Chair of a meeting shall, if the facts warrant, determine and declare to the meeting that any proposed item of business was not brought before the meeting in accordance with the provisions of this Section 12 and Sections 2, 5 and 7 of this Article and if he or she should so determine, he or she shall so declare to the meeting and any such business not properly brought before the meeting shall not be transacted.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w:t>
      </w:r>
      <w:r>
        <w:rPr>
          <w:rFonts w:ascii="Times New Roman" w:hAnsi="Times New Roman"/>
          <w:caps w:val="false"/>
          <w:smallCaps w:val="false"/>
          <w:sz w:val="20"/>
        </w:rPr>
        <w:b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w:t>
      </w:r>
      <w:r>
        <w:rPr>
          <w:rFonts w:ascii="Times New Roman" w:hAnsi="Times New Roman"/>
          <w:caps w:val="false"/>
          <w:smallCaps w:val="false"/>
          <w:sz w:val="20"/>
        </w:rPr>
        <w:t>   The number of directors which shall constitute the whole Board shall be fixed from time to time by the Board of Directors. Directors need not be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Directors of this Corporation is divided into three classes, Class 1, Class 2, and Class 3. The number of directors in each class shall be the whole number contained in the quotient arrived at by dividing the authorized number of directors by three, and if a fraction is also contained in such quotient, then if such fraction is one-third, the extra director shall be a member of Class 3, and if the fraction is two-thirds, one of the directors shall be a member of Class 3 and the other shall be a member of Class 2. Each director shall serve for a term ending on the date of the third annual meeting following that at which such director is elected, and directors of only one class shall be elected at any annual meeting, except as hereinafter provided. Each director shall serve until a successor shall have been duly elected and qualified unless he or she shall resign, become disqualified, die or shall be removed as provided in the Certificate of Incorporation. If the number of directors is changed, any increase or decrease shall be apportioned among the classes as set forth above, and any additional director of any class elected to fill a vacancy resulting from an increase in such class shall hold office for a term that shall coincide with the remaining term of that class. No decrease in the number of directors constituting the Board of Directors shall shorten the term of any incumbent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w:t>
      </w:r>
      <w:r>
        <w:rPr>
          <w:rFonts w:ascii="Times New Roman" w:hAnsi="Times New Roman"/>
          <w:caps w:val="false"/>
          <w:smallCaps w:val="false"/>
          <w:sz w:val="20"/>
        </w:rPr>
        <w:t>    Vacancies and newly created Directorships resulting from any increase in the authorized number of directors may be filled by a majority of directors then in office, even though less than a quorum. The persons so elected to fill vacancies on the Board resulting from the death, resignation or removal of a director shall serve for the balance of the term of the director being replaced. Directors appointed to fill vacancies resulting from an increase in the authorized number of directors shall serve for such term not exceeding three years as shall be designated by the Board of Directors at the time of their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3</w:t>
      </w:r>
      <w:r>
        <w:rPr>
          <w:rFonts w:ascii="Times New Roman" w:hAnsi="Times New Roman"/>
          <w:caps w:val="false"/>
          <w:smallCaps w:val="false"/>
          <w:sz w:val="20"/>
        </w:rPr>
        <w:t>    The business of the Corporation shall be managed by its Board of Directors which may exercise all such powers of the Corporation and do all such lawful acts and things as are not by statute or by the Certificate of Incorporation or by these Bylaws directed or required to be exercised or done by the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MEETINGS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w:t>
      </w:r>
      <w:r>
        <w:rPr>
          <w:rFonts w:ascii="Times New Roman" w:hAnsi="Times New Roman"/>
          <w:caps w:val="false"/>
          <w:smallCaps w:val="false"/>
          <w:sz w:val="20"/>
        </w:rPr>
        <w:t>    The Board of Directors of the Corporation may hold meetings, both regular and special, either within or without the State of Delaware. Members of the Board of Directors, or of any committee thereof, may participate in a meeting of such Board or committee by means of conference telephone or similar communications equipment by means of which all persons participating in the meeting can hear each other and such participation shall constitute presence in person at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w:t>
      </w:r>
      <w:r>
        <w:rPr>
          <w:rFonts w:ascii="Times New Roman" w:hAnsi="Times New Roman"/>
          <w:caps w:val="false"/>
          <w:smallCaps w:val="false"/>
          <w:sz w:val="20"/>
        </w:rPr>
        <w:t>    The first meeting of each newly elected Board of Directors shall be held at such time and place as shall be fixed by the Chair at the annual stockholders’ meeting and no notice of such meeting shall be necessary to the newly elected directors in order legally to constitute the meeting, provided a quorum is present. In the event of the failure of the Chair to fix the time or place of such first meeting of the newly elected Board of Directors, or in the event such meeting is not held at the time and place so fixed by the Chair, the meeting may be held at such time and place as shall be specified in a notice given as hereinafter provided for special meetings of the Board of Directors, or as shall be specified in a written waiver signed by all of the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6</w:t>
      </w:r>
      <w:r>
        <w:rPr>
          <w:rFonts w:ascii="Times New Roman" w:hAnsi="Times New Roman"/>
          <w:caps w:val="false"/>
          <w:smallCaps w:val="false"/>
          <w:sz w:val="20"/>
        </w:rPr>
        <w:t>    Regular meetings of the Board of Directors may be held without notice at such time and at such place as shall from time to time be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w:t>
      </w:r>
      <w:r>
        <w:rPr>
          <w:rFonts w:ascii="Times New Roman" w:hAnsi="Times New Roman"/>
          <w:caps w:val="false"/>
          <w:smallCaps w:val="false"/>
          <w:sz w:val="20"/>
        </w:rPr>
        <w:t>    Special meetings of the Board may be called by the Board Chair, by a majority of the directors then in office, or by the President, on three days’ notice to each director, either personally, by mail, by electronic transmission or by telephone, but the said three days’ notice need not be given to any director who consents in writing, whether before or after the meeting, or who attends the meeting without protesting prior thereto or at its commencement, the lack of notice to him or 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8</w:t>
      </w:r>
      <w:r>
        <w:rPr>
          <w:rFonts w:ascii="Times New Roman" w:hAnsi="Times New Roman"/>
          <w:caps w:val="false"/>
          <w:smallCaps w:val="false"/>
          <w:sz w:val="20"/>
        </w:rPr>
        <w:t>    At all meetings of the Board, a majority of the number of directors then in office but not less than two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w:t>
      </w:r>
      <w:r>
        <w:rPr>
          <w:rFonts w:ascii="Times New Roman" w:hAnsi="Times New Roman"/>
          <w:caps w:val="false"/>
          <w:smallCaps w:val="false"/>
          <w:sz w:val="20"/>
        </w:rPr>
        <w:t>    Any action required or permitted to be taken at any meeting of the Board of Directors may be taken without a meeting if all the directors consent thereto in writing (which may be provided by electronic transmission), and such writing or writings are filed with the minutes of proceedings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COMMITTEES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w:t>
      </w:r>
      <w:r>
        <w:rPr>
          <w:rFonts w:ascii="Times New Roman" w:hAnsi="Times New Roman"/>
          <w:caps w:val="false"/>
          <w:smallCaps w:val="false"/>
          <w:sz w:val="20"/>
        </w:rPr>
        <w:t>    The Board of Directors may, by resolution passed by a majority of the whole Board, designate one or more committees, each committee to consist of two or more of the directors of the Corporation, which, to the extent provided in the resolution, shall have and may exercise the powers of the Board of Directors in the management of the business and affairs of the Corporation and may authorize the seal of the Corporation to be affixed to all papers which may require it. Such committee or committees shall have such name or names as may be determined from time to time by resolution adopted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w:t>
      </w:r>
      <w:r>
        <w:rPr>
          <w:rFonts w:ascii="Times New Roman" w:hAnsi="Times New Roman"/>
          <w:caps w:val="false"/>
          <w:smallCaps w:val="false"/>
          <w:sz w:val="20"/>
        </w:rPr>
        <w:t>    Each committee shall fix its own rules of procedure, and shall meet where and as provided by such rules or by resolution of the Board of Directors. Except as otherwise provided by law, the presence of a majority of the then appointed members of a committee shall constitute a quorum for the transaction of business by that committee, and in every case where a quorum is present the affirmative vote of a majority of the members of the committee present shall be the act of the committee. In the absence or disqualification of any member of such committee or committees, the member or members thereof present at any meeting and not disqualified from voting, whether or not constituting a quorum, may unanimously appoint another member of the Board to act at the meeting in the place of any such absent or disqualified member. The committees shall keep regular minutes of their proceedings and report the same to the Board of Directors when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12</w:t>
      </w:r>
      <w:r>
        <w:rPr>
          <w:rFonts w:ascii="Times New Roman" w:hAnsi="Times New Roman"/>
          <w:caps w:val="false"/>
          <w:smallCaps w:val="false"/>
          <w:sz w:val="20"/>
        </w:rPr>
        <w:t>    Any action required or permitted to be taken at any meeting of any committee of the Board of Directors may be taken without a meeting if all the members of the committee consent thereto in writing (which may be provided by electronic transmission), and such writing or writings are filed with the minutes of proceedings of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III</w:t>
      </w:r>
      <w:r>
        <w:rPr>
          <w:rFonts w:ascii="Times New Roman" w:hAnsi="Times New Roman"/>
          <w:caps w:val="false"/>
          <w:smallCaps w:val="false"/>
          <w:sz w:val="20"/>
        </w:rPr>
        <w:br/>
        <w:t>COMPENSATION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w:t>
      </w:r>
      <w:r>
        <w:rPr>
          <w:rFonts w:ascii="Times New Roman" w:hAnsi="Times New Roman"/>
          <w:caps w:val="false"/>
          <w:smallCaps w:val="false"/>
          <w:sz w:val="20"/>
        </w:rPr>
        <w:t>    The directors may be paid their expenses, if any, of attendance at each meeting of the Board of Directors and directors who are not employees of the Corporation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IV</w:t>
      </w:r>
      <w:r>
        <w:rPr>
          <w:rFonts w:ascii="Times New Roman" w:hAnsi="Times New Roman"/>
          <w:caps w:val="false"/>
          <w:smallCaps w:val="false"/>
          <w:sz w:val="20"/>
        </w:rPr>
        <w:b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w:t>
      </w:r>
      <w:r>
        <w:rPr>
          <w:rFonts w:ascii="Times New Roman" w:hAnsi="Times New Roman"/>
          <w:caps w:val="false"/>
          <w:smallCaps w:val="false"/>
          <w:sz w:val="20"/>
        </w:rPr>
        <w:t>    Notices to directors and stockholders shall be in writing and delivered personally, by electronic transmission or mailed to the directors or stockholders at their addresses appearing on the books of the Corporation. Notice by mail shall be deemed to be given at the time when the same shall be mailed.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w:t>
      </w:r>
      <w:r>
        <w:rPr>
          <w:rFonts w:ascii="Times New Roman" w:hAnsi="Times New Roman"/>
          <w:caps w:val="false"/>
          <w:smallCaps w:val="false"/>
          <w:sz w:val="20"/>
        </w:rPr>
        <w:t>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w:t>
      </w:r>
      <w:r>
        <w:rPr>
          <w:rFonts w:ascii="Times New Roman" w:hAnsi="Times New Roman"/>
          <w:caps w:val="false"/>
          <w:smallCaps w:val="false"/>
          <w:sz w:val="20"/>
        </w:rPr>
        <w:b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w:t>
      </w:r>
      <w:r>
        <w:rPr>
          <w:rFonts w:ascii="Times New Roman" w:hAnsi="Times New Roman"/>
          <w:caps w:val="false"/>
          <w:smallCaps w:val="false"/>
          <w:sz w:val="20"/>
        </w:rPr>
        <w:t>    The officers of the Corporation shall be chosen by the Board of Directors and shall be a President, a Secretary and a Treasurer. The Board of Directors may also choose one or more Vice Presidents, and one or more Assistant Secretaries and Assistant Treasurers. The Corporation may also have, at the discretion of the Board of Directors, a Board Chair. Two or more offices may be held by the same person, except that where the offices of President and Secretary are held by the same person, such person shall not hold any other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w:t>
      </w:r>
      <w:r>
        <w:rPr>
          <w:rFonts w:ascii="Times New Roman" w:hAnsi="Times New Roman"/>
          <w:caps w:val="false"/>
          <w:smallCaps w:val="false"/>
          <w:sz w:val="20"/>
        </w:rPr>
        <w:t>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3</w:t>
      </w:r>
      <w:r>
        <w:rPr>
          <w:rFonts w:ascii="Times New Roman" w:hAnsi="Times New Roman"/>
          <w:caps w:val="false"/>
          <w:smallCaps w:val="false"/>
          <w:sz w:val="20"/>
        </w:rPr>
        <w:t>    The Board of Directors may appoint such other officers and agents as it shall deem necessary who shall hold their offices for such terms and shall exercise such powers and perform such duties as shall be determined from time to time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w:t>
      </w:r>
      <w:r>
        <w:rPr>
          <w:rFonts w:ascii="Times New Roman" w:hAnsi="Times New Roman"/>
          <w:caps w:val="false"/>
          <w:smallCaps w:val="false"/>
          <w:sz w:val="20"/>
        </w:rPr>
        <w:t>    The salaries of all executive officers of the Corporation shall be fixed by the Board of Directors or a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w:t>
      </w:r>
      <w:r>
        <w:rPr>
          <w:rFonts w:ascii="Times New Roman" w:hAnsi="Times New Roman"/>
          <w:caps w:val="false"/>
          <w:smallCaps w:val="false"/>
          <w:sz w:val="20"/>
        </w:rPr>
        <w:t>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by death, resignation, removal or otherwise shall be filled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Voting Corporation’s Securities. Unless otherwise ordered by the Board of Directors, the President shall have full power and authority on behalf of the Corporation to attend and to act and to vote at any meetings of security holders of corporations in which the Corporation may hold securities, and at such meetings shall possess and may exercise any and all rights and powers incident to the ownership of such securities, and which as the owner thereof the Corporation might have possessed and exercised, if present. The Board of Directors by resolution from time to time may confer like powers upon any other person or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6</w:t>
      </w:r>
      <w:r>
        <w:rPr>
          <w:rFonts w:ascii="Times New Roman" w:hAnsi="Times New Roman"/>
          <w:caps w:val="false"/>
          <w:smallCaps w:val="false"/>
          <w:sz w:val="20"/>
        </w:rPr>
        <w:t>    Subject to the direction of the Board of Directors and such supervisory powers as may be given by these Bylaws or the Board of Directors to the Board Chair or the Chief Executive Officer, if such titles be held by other officers, the President shall have general supervision, direction and control of the business and supervision of other officers of the Corporation. Unless otherwise designated by the Board of Directors, the President shall be the Chief Executive Officer of the Corporation. The President shall have such other powers and duties as may be prescribed by the Board of Directors or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w:t>
      </w:r>
      <w:r>
        <w:rPr>
          <w:rFonts w:ascii="Times New Roman" w:hAnsi="Times New Roman"/>
          <w:caps w:val="false"/>
          <w:smallCaps w:val="false"/>
          <w:sz w:val="20"/>
        </w:rPr>
        <w:t>    The President shall have power to sign stock certificates, contracts and other instruments of the Corporation which are authorized and shall have general supervision and direction of all of the other officers, employees and agents of the Corporation, other than the Board Chair and the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VICE PRESIDENTS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8</w:t>
      </w:r>
      <w:r>
        <w:rPr>
          <w:rFonts w:ascii="Times New Roman" w:hAnsi="Times New Roman"/>
          <w:caps w:val="false"/>
          <w:smallCaps w:val="false"/>
          <w:sz w:val="20"/>
        </w:rPr>
        <w:t>    The Vice Presidents in the order of their seniority unless otherwise determined by the Board of Directors, shall, in the absence or disability of the President, perform the duties and exercise the powers of the President. They shall perform such other duties and have such other powers as the Board of Directors or Chief Executive Officer may from time to time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SECRETARY AND ASSISTANT SECRETARIES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w:t>
      </w:r>
      <w:r>
        <w:rPr>
          <w:rFonts w:ascii="Times New Roman" w:hAnsi="Times New Roman"/>
          <w:caps w:val="false"/>
          <w:smallCaps w:val="false"/>
          <w:sz w:val="20"/>
        </w:rPr>
        <w:t>    The Secretary shall attend all meetings of the Board of Directors and all meetings of the stockholders and record all proceedings of the meetings of the Corporation and of the Board of Directors in a book to be kept for that purpose and shall perform like duties for the standing committees when required. He or she shall give, or cause to be given, notice of all meetings of the stockholders and special meetings of the Board of Directors, and shall perform such other duties as may be prescribed by the Board of Directors or President, under whose supervision he or she shall be. He or she shall keep in safe custody the seal of the Corporation, and, when authorized by the Board of Directors, affix the same to any instrument requiring it and, when so affixed, it shall be attested to by his or her signature or by the signature of the Treasurer or an Assistant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w:t>
      </w:r>
      <w:r>
        <w:rPr>
          <w:rFonts w:ascii="Times New Roman" w:hAnsi="Times New Roman"/>
          <w:caps w:val="false"/>
          <w:smallCaps w:val="false"/>
          <w:sz w:val="20"/>
        </w:rPr>
        <w:t>    The Assistant Secretaries in the order of their seniority, unless otherwise determined by the Board of Directors, shall, in the absence or disability of the Secretary, perform the duties and exercise the powers of the Secretary. They shall perform such other duties and have such other powers as the Board of Directors may from time to time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TREASURER AND ASSISTANT TREASURERS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w:t>
      </w:r>
      <w:r>
        <w:rPr>
          <w:rFonts w:ascii="Times New Roman" w:hAnsi="Times New Roman"/>
          <w:caps w:val="false"/>
          <w:smallCaps w:val="false"/>
          <w:sz w:val="20"/>
        </w:rPr>
        <w:t>    The Treasurer shall in general have all duties incident to the position of Treasurer and such other duties as may be assigned by the Board of Directors or the Chief Executive Officer. Unless otherwise designated by the Board of Directors, the Treasurer shall also be the Chief Financial Officer of the Corporation and, unless the Board of Directors takes action to the contrary, the choice of a person to serve as either the Treasurer or the Chief Financial Officer shall be deemed to be the choice to fill both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12</w:t>
      </w:r>
      <w:r>
        <w:rPr>
          <w:rFonts w:ascii="Times New Roman" w:hAnsi="Times New Roman"/>
          <w:caps w:val="false"/>
          <w:smallCaps w:val="false"/>
          <w:sz w:val="20"/>
        </w:rPr>
        <w:t>    The Assistant Treasurers in the order of their seniority, unless otherwise determined by the Board of Directors, shall, in the absence or disability of the Treasurer, perform the duties and exercise the powers of the Treasurer. They shall perform such other duties and have such other powers as the Board of Directors may from time to time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w:t>
      </w:r>
      <w:r>
        <w:rPr>
          <w:rFonts w:ascii="Times New Roman" w:hAnsi="Times New Roman"/>
          <w:caps w:val="false"/>
          <w:smallCaps w:val="false"/>
          <w:sz w:val="20"/>
        </w:rPr>
        <w:br/>
        <w:t>CERTIFICATES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w:t>
      </w:r>
      <w:r>
        <w:rPr>
          <w:rFonts w:ascii="Times New Roman" w:hAnsi="Times New Roman"/>
          <w:caps w:val="false"/>
          <w:smallCaps w:val="false"/>
          <w:sz w:val="20"/>
        </w:rPr>
        <w:t>    Every holder of stock in the Corporation shall be entitled to have a certificate, signed by, or in the name of the Corporation by the President, or a Vice President, and the Treasurer, or an Assistant Treasurer, or the Secretary, or an Assistant Secretary of the Corporation, certifying the number of shares owned by him or her in the Corporation. If the Corporation shall be authorized to issue more than one class of stock, the designations, preferences and relative, participating, optional or other special rights of each class and the qualifications, limitations or restrictions of such preferences and/or rights shall be set forth in full or summarized on the face or back of the certificate which the Corporation shall issue to represent such class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w:t>
      </w:r>
      <w:r>
        <w:rPr>
          <w:rFonts w:ascii="Times New Roman" w:hAnsi="Times New Roman"/>
          <w:caps w:val="false"/>
          <w:smallCaps w:val="false"/>
          <w:sz w:val="20"/>
        </w:rPr>
        <w:t>    Where a certificate is signed (1) by a transfer agent or an assistant transfer agent or (2) by a transfer clerk acting on behalf of the Corporation and a registrar, the signature of any such President, Vice President, Treasurer, Assistant Treasurer, Secretary, or Assistant Secretary may be facsimile. In case any officer or officers who have signed, or whose facsimile signature or signatures have been used on, any such certificate or certificates shall cease to be such officer or officers of the Corporation, whether because of death, resignation or otherwise, before such certificate or certificates have been delivered by the Corporation, such certificate or certificates may nevertheless be adopted by the Corporation and be issued and delivered as though the person or persons who signed such certificate or certificates or whose facsimile signature or signatures have been used thereon had not ceased to be such officer or officers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LOST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3</w:t>
      </w:r>
      <w:r>
        <w:rPr>
          <w:rFonts w:ascii="Times New Roman" w:hAnsi="Times New Roman"/>
          <w:caps w:val="false"/>
          <w:smallCaps w:val="false"/>
          <w:sz w:val="20"/>
        </w:rPr>
        <w:t>    The Board of Directors may direct a new certificate or certificates to be issued in place of any certificate or certificates theretofore issued by the Corporation alleged to have been lost or destroyed, upon the making of an affidavit of that fact by the person claiming the certificate of stock to be lost or destroyed. When authorizing such issue of a new certificate or certificates, the Board of Directors may, in its discretion and as a condition precedent to the issuance thereof, require the owner of such lost or destroyed certificate or certificates, or his or her legal representative, to advertise the same in such manner as it shall require and/or to give the Corporation a bond in such sum as it may direct as indemnity against any claim that may be made against the Corporation with respect to the certificate alleged to have been lost or destroyed.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TRANSFERS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w:t>
      </w:r>
      <w:r>
        <w:rPr>
          <w:rFonts w:ascii="Times New Roman" w:hAnsi="Times New Roman"/>
          <w:caps w:val="false"/>
          <w:smallCaps w:val="false"/>
          <w:sz w:val="20"/>
        </w:rPr>
        <w:t>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record the transaction upon its books.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CLOSING OF TRANSFER BOOKS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w:t>
      </w:r>
      <w:r>
        <w:rPr>
          <w:rFonts w:ascii="Times New Roman" w:hAnsi="Times New Roman"/>
          <w:caps w:val="false"/>
          <w:smallCaps w:val="false"/>
          <w:sz w:val="20"/>
        </w:rPr>
        <w:t>    The Board of Directors may close the stock transfer books of the Corporation for a period not exceeding sixty days preceding the date of any meeting of stockholders or the date for payment of any dividend or the date for the allotment of rights or the date when any change or conversions or exchange of capital stock shall go into effect or for a period of not exceeding fifty days in connection with obtaining the consent of stockholders for any purpose. In lieu of closing the stock transfer books as aforesaid, the Board of Directors may fix in advance a date, not exceeding fifty days preceding the date of any meeting of stockholders, or the date for the payment of any dividend, or the date for the allotment of rights, or the date when any change or conversion or exchange of capital stock shall go into effect, or a date in connection with obtaining such consent, as a record date for the determination of the stockholders entitled to notice of, and to vote at, any such meeting, and any adjournment thereof, or entitled to receive payment of any such dividend, or to any such allotment of rights, or to exercise the rights in respect or any such change, conversion or exchange of capital stock, or to give such consent, and in such case such stockholders and only such stockholders as shall be stockholders of record on the date so fixed shall be entitled to such notice of, and to vote at, such meeting and any adjournment thereof, or to receive payment of such dividend, or to receive such allotment of rights, or to exercise such rights, or to give such consent, as the case may be notwithstanding any transfer of any stock on the books of the Corporation after any such record date fixed as aforesaid.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REGISTERED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6</w:t>
      </w:r>
      <w:r>
        <w:rPr>
          <w:rFonts w:ascii="Times New Roman" w:hAnsi="Times New Roman"/>
          <w:caps w:val="false"/>
          <w:smallCaps w:val="false"/>
          <w:sz w:val="20"/>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w:t>
      </w:r>
      <w:r>
        <w:rPr>
          <w:rFonts w:ascii="Times New Roman" w:hAnsi="Times New Roman"/>
          <w:caps w:val="false"/>
          <w:smallCaps w:val="false"/>
          <w:sz w:val="20"/>
        </w:rPr>
        <w:b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w:t>
      </w:r>
      <w:r>
        <w:rPr>
          <w:rFonts w:ascii="Times New Roman" w:hAnsi="Times New Roman"/>
          <w:caps w:val="false"/>
          <w:smallCaps w:val="false"/>
          <w:sz w:val="20"/>
        </w:rPr>
        <w:t>    Dividends upon the capital stock of the Corporation, subject to the provisions of law and the Certificate of Incorporation, if any, may be declared by the Board of Directors at any regular or special meeting, pursuant to law. Dividends may be paid in cash, in property, or in shares of the capital stock, subject to the provisions of law and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w:t>
      </w:r>
      <w:r>
        <w:rPr>
          <w:rFonts w:ascii="Times New Roman" w:hAnsi="Times New Roman"/>
          <w:caps w:val="false"/>
          <w:smallCaps w:val="false"/>
          <w:sz w:val="20"/>
        </w:rPr>
        <w:t>    Before payment of any dividends,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purposes as the directors shall think conducive to the interest of the Corporation, and the directors may modify or abolish any such reserve in the manner in which it was created.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ANNUAL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3</w:t>
      </w:r>
      <w:r>
        <w:rPr>
          <w:rFonts w:ascii="Times New Roman" w:hAnsi="Times New Roman"/>
          <w:caps w:val="false"/>
          <w:smallCaps w:val="false"/>
          <w:sz w:val="20"/>
        </w:rPr>
        <w:t>    The officers of the Corporation shall cause to be sent to the stockholders of the Corporation, not later than 120 days after the close of each fiscal year of the Corporation, an annual report which shall contain a balance sheet as of the close of such fiscal year and a statement of profit and loss for the year then 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CHECKS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w:t>
      </w:r>
      <w:r>
        <w:rPr>
          <w:rFonts w:ascii="Times New Roman" w:hAnsi="Times New Roman"/>
          <w:caps w:val="false"/>
          <w:smallCaps w:val="false"/>
          <w:sz w:val="20"/>
        </w:rPr>
        <w:t>    All checks or demands for money and notes of the Corporation shall be signed by such officer or officers or such other person or persons as the Board of Directors may from time to time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w:t>
      </w:r>
      <w:r>
        <w:rPr>
          <w:rFonts w:ascii="Times New Roman" w:hAnsi="Times New Roman"/>
          <w:caps w:val="false"/>
          <w:smallCaps w:val="false"/>
          <w:sz w:val="20"/>
        </w:rPr>
        <w:t>    The fiscal year of the Corporation shall be fixed, and shall be subject to change, by resolution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6</w:t>
      </w:r>
      <w:r>
        <w:rPr>
          <w:rFonts w:ascii="Times New Roman" w:hAnsi="Times New Roman"/>
          <w:caps w:val="false"/>
          <w:smallCaps w:val="false"/>
          <w:sz w:val="20"/>
        </w:rPr>
        <w:t>    The Corporate seal shall have inscribed thereon the name of the Corporation, the year of its organization and the words, “Corporate Seal, Delaware.” The seal may be used by causing it or a facsimile thereof to be impressed or affixed or reproduced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INDEMNIFICATION OF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w:t>
      </w:r>
      <w:r>
        <w:rPr>
          <w:rFonts w:ascii="Times New Roman" w:hAnsi="Times New Roman"/>
          <w:caps w:val="false"/>
          <w:smallCaps w:val="false"/>
          <w:sz w:val="20"/>
        </w:rPr>
        <w:t>    RIGHT TO INDEMNIFICATION. Each person who was or is made a party or is threatened to be made a party to or is otherwise involved in any threatened, pending or completed action, suit or proceeding, whether civil, criminal, administrative or investigative (“proceeding”), by reason of the fact that he or she or a person of whom he or she is the legal representative, is or was a director, officer or employee of the Corporation or is or was serving at the request of the Corporation as a director, officer or employee of another corporation, or of a partnership, joint venture, trust or other enterprise, including service with respect to employee benefit plans, whether the basis of such proceeding is alleged action in an official capacity as a director, officer or employee or in any other capacity while serving as a director, officer or employee, shall be indemnified and held harmless by the Corporation to the fullest extent authorized by applicable law,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expenses, liability and loss (including, without limitation, attorney’s fees, judgments, fines, ERISA excise taxes or penalties, amounts paid or to be paid in settlement and amounts expended in seeking indemnification granted to such person under applicable law, this bylaw or any agreement with the Corporation) actually and reasonably incurred or suffered by such person in connection therewith and such indemnification shall continue as to a person who has ceased to be a director, officer or employee and shall inure to the benefit of his or her heirs, executors and administrators and the Corporation may enter into agreements with any such person for the purpose of providing for such indemnification; provided, however, that except as provided in Section 8 of this Article, the Corporation shall indemnify any such person seeking indemnity in connection with an action, suit or proceeding (or part thereof) initiated by such person only if such action, suit or proceeding (or part thereof) was authorized by the Board of Directors of the Corporation. Such right shall be a contract right and shall include the right to be paid by the Corporation expenses incurred in defending any such proceeding in advance of its final disposition, such advances to be paid by the Corporation within sixty (60) days after the receipt by the Corporation of a statement or statements from the claimant requesting such advance or advances from time to time; provided, however, that if applicable law then so requires, the payment of such expenses by a director or officer of the Corporation in his or her capacity as a director or officer (and not in any other capacity in which service was or is rendered by such person while a director or officer, including, without limitation, service to an employee benefit plan) in advance of the final disposition of such proceeding shall be made only upon delivery to the Corporation of an undertaking, by or on behalf of such director or officer, to repay all amounts so advanced if it should be determined ultimately that such director or officer is not entitled to be indemnified under this Section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8</w:t>
      </w:r>
      <w:r>
        <w:rPr>
          <w:rFonts w:ascii="Times New Roman" w:hAnsi="Times New Roman"/>
          <w:caps w:val="false"/>
          <w:smallCaps w:val="false"/>
          <w:sz w:val="20"/>
        </w:rPr>
        <w:t>    SUBMISSION OF CLAIM. To obtain indemnification under this Article VII, a claimant shall submit to the Corporation a written request, including therein or therewith such documentation and information as is reasonably available to the claimant and is reasonably necessary to determine whether and to what extent the claimant is entitled to indemnification. Upon written request by a claimant for indemnification pursuant to the first sentence of this Section 8 of Article VII, a determination, if required by applicable law, with respect to the claimant’s entitlement thereto shall be made as follows: (a) if requested by the claimant, by Independent Counsel (as hereinafter defined), or (b) if no request is made by the claimant for a determination by Independent Counsel, (1) by the Board of Directors by a majority vote of a quorum consisting of Disinterested Directors (as hereinafter defined), or (2) if a quorum of the Board of Directors consisting of Disinterested Directors is not obtainable or, even if obtainable, such quorum of Disinterested Directors so directs, by Independent Counsel in a written opinion to the Board of Directors, a copy of which shall be delivered to the claimant, or (3) if a quorum of Disinterested Directors so directs, by the stockholders of the Corporation. In the event the determination of entitlement to indemnification is to be made by Independent Counsel at the request of the claimant, the Independent Counsel shall be selected by the Board of Directors unless there shall have occurred within two (2) years prior to the date of the commencement of the action, suit or proceeding for which indemnification is claimed a “Change in Control” as defined in the Corporation’s then current equity incentive plan approved by the Corporation’s stockholders, in which case the Independent Counsel shall be selected by the claimant unless the claimant shall request that such selection be made by the Board of Directors. If it is so determined that the claimant is entitled to indemnification, payment to the claimant shall be made within sixty (60) days after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w:t>
      </w:r>
      <w:r>
        <w:rPr>
          <w:rFonts w:ascii="Times New Roman" w:hAnsi="Times New Roman"/>
          <w:caps w:val="false"/>
          <w:smallCaps w:val="false"/>
          <w:sz w:val="20"/>
        </w:rPr>
        <w:t>    RIGHT OF CLAIMANT TO BRING SUIT. If a claim under Section 7 of this Article is not paid in full by the Corporation within sixty (60) days after a written claim has been received by the Corporation, the claimant may at any time thereafter bring suit against the Corporation to recover the unpaid amount of the claim and, if such suit is not frivolous or brought in bad faith, the claimant shall be entitled to be paid also the expense of prosecuting such claim. It shall be a defense of any such action (other than an action brought to enforce a claim for expenses incurred in defending any proceeding in advance of its final disposition where the required undertaking, if any, has been tendered to this Corporation) that the claimant has not met the standards of conduct which make it permissible under the Delaware General Corporation Law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Delaware General Corporation Law, nor an actual determination by the Corporation (including its Board of Directors, independent legal counsel, or its stockholders) that the claimant has not met such applicable standard or conduct, shall be a defense to the action or create a presumption that claimant has not met the applicable standard of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w:t>
      </w:r>
      <w:r>
        <w:rPr>
          <w:rFonts w:ascii="Times New Roman" w:hAnsi="Times New Roman"/>
          <w:caps w:val="false"/>
          <w:smallCaps w:val="false"/>
          <w:sz w:val="20"/>
        </w:rPr>
        <w:t>    NON-EXCLUSIVITY OF RIGHTS. The rights conferred on any person in Section 7 and 8 of this Article shall not be exclusive of any other right which such person may have or hereafter acquire under any statute, provision of the Certificate of Incorporation, bylaw, agreement, vote of stockholders or disinterested directors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w:t>
      </w:r>
      <w:r>
        <w:rPr>
          <w:rFonts w:ascii="Times New Roman" w:hAnsi="Times New Roman"/>
          <w:caps w:val="false"/>
          <w:smallCaps w:val="false"/>
          <w:sz w:val="20"/>
        </w:rPr>
        <w:t>    INDEMNIFICATION CONTRACTS. The Board of Directors is authorized to enter into a contract with any director, officer, employee or agent of the Corporation, or any person serving at the request of the Corporation as a director, officer, employee or agent of another corporation, partnership, joint venture, trust or other enterprise, including employee benefit plans, providing for indemnification rights equivalent to or, if the Board of Directors so determines, greater than, those provided for in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12</w:t>
      </w:r>
      <w:r>
        <w:rPr>
          <w:rFonts w:ascii="Times New Roman" w:hAnsi="Times New Roman"/>
          <w:caps w:val="false"/>
          <w:smallCaps w:val="false"/>
          <w:sz w:val="20"/>
        </w:rPr>
        <w:t>    INSURANCE. The Corporation will maintain insurance to the extent reasonably available, at its expense, to protect itself and any such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13</w:t>
      </w:r>
      <w:r>
        <w:rPr>
          <w:rFonts w:ascii="Times New Roman" w:hAnsi="Times New Roman"/>
          <w:caps w:val="false"/>
          <w:smallCaps w:val="false"/>
          <w:sz w:val="20"/>
        </w:rPr>
        <w:t>    EFFECT OF AMENDMENT. Any amendment, repeal or modification of any provision of Sections 7 through 13 of this Article by the stockholders and the directors of the Corporation shall not adversely affect any right or protection of a director or officer of the Corporation existing at the time of such amendment, repeal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14</w:t>
      </w:r>
      <w:r>
        <w:rPr>
          <w:rFonts w:ascii="Times New Roman" w:hAnsi="Times New Roman"/>
          <w:caps w:val="false"/>
          <w:smallCaps w:val="false"/>
          <w:sz w:val="20"/>
        </w:rPr>
        <w:t>    If any provision or provisions of this Article VII shall be held to be invalid, illegal or unenforceable for any reason whatsoever: (a) the validity, legality and enforceability of the remaining provisions of this Article VII (including, without limitation, each portion of any paragraph of this Article VII containing any such provision held to be invalid, illegal or unenforceable, that is not itself held to be invalid, illegal or unenforceable) shall not in any way be affected or impaired thereby; and (b) to the fullest extent possible, the provisions of this Article VII (including, without limitation, each such portion of any paragraph of this Article VII containing any such provision held to be invalid, illegal or unenforceable) shall be construed so as to give effect to the intent manifested by the provision held invalid, illegal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15</w:t>
      </w:r>
      <w:r>
        <w:rPr>
          <w:rFonts w:ascii="Times New Roman" w:hAnsi="Times New Roman"/>
          <w:caps w:val="false"/>
          <w:smallCaps w:val="false"/>
          <w:sz w:val="20"/>
        </w:rPr>
        <w:t>    For purposes of this Article 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(1)    “Disinterested Director” means a director of the Corporation who is not and was not a party to the matter in respect of which indemnification is sought by the claimant.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(2)    “Independent Counsel” means a law firm, a member of a law firm, or an independent practitioner, that is experienced in matters of corporation law and shall include any person who, under the applicable standards of professional conduct then prevailing, would not have a conflict of interest in representing either the Corporation or the claimant in an action to determine the claimant’s rights under this Article 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VIII</w:t>
      </w:r>
      <w:r>
        <w:rPr>
          <w:rFonts w:ascii="Times New Roman" w:hAnsi="Times New Roman"/>
          <w:caps w:val="false"/>
          <w:smallCaps w:val="false"/>
          <w:sz w:val="20"/>
        </w:rPr>
        <w:br/>
        <w:t>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w:t>
      </w:r>
      <w:r>
        <w:rPr>
          <w:rFonts w:ascii="Times New Roman" w:hAnsi="Times New Roman"/>
          <w:caps w:val="false"/>
          <w:smallCaps w:val="false"/>
          <w:sz w:val="20"/>
        </w:rPr>
        <w:t>    These Bylaws may be altered, amended or repealed only as provided in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IX</w:t>
      </w:r>
      <w:r>
        <w:rPr>
          <w:rFonts w:ascii="Times New Roman" w:hAnsi="Times New Roman"/>
          <w:caps w:val="false"/>
          <w:smallCaps w:val="false"/>
          <w:sz w:val="20"/>
        </w:rPr>
        <w:br/>
        <w:t>Forum for Adjudication of Disputes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    </w:t>
      </w:r>
      <w:r>
        <w:rPr>
          <w:rFonts w:ascii="Times New Roman" w:hAnsi="Times New Roman"/>
          <w:caps w:val="false"/>
          <w:smallCaps w:val="false"/>
          <w:sz w:val="20"/>
        </w:rPr>
        <w:t>FORUM FOR ADJUDICATION OF DISPUTES. Unless the Corporation consents in writing to the selection of an alternative forum, the sole and exclusive forum for (i) any derivative action or proceeding brought on behalf of the Corporation, (ii) any action asserting a claim of breach of a fiduciary duty owed by any current or former director, officer or other employee of the Corporation to the Corporation or the Corporation’s stockholders, including a claim alleging the aiding and abetting of any such breach of fiduciary duty, (iii) any action asserting a claim arising pursuant to any provision of the Delaware General Corporation Law or the Certificate of Incorporation or Bylaws (as either may be amended from time to time), (iv) any action asserting a claim governed by the internal affairs doctrine, (v) any action asserting an “internal corporate claim” (as that term is defined in Section 115 of the Delaware General Corporation Law), or (vi) any other claim brought by a stockholder in such stockholder’s capacity as a stockholder or in the right of the Corporation, that relates to the business of the Corporation, the conduct of its affairs, or the rights or powers of the Corporation or its stockholders, directors or officers, shall be the Court of Chancery in the State of Delaware (or, if the Court of Chancery does not have jurisdiction, the federal district court for the District of Delaware; unless said court lacks subject matter jurisdiction, in which case, the Superior Court for the State of Delaware). If any action the subject matter of which is within the scope of the preceding sentence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 Unless the Corporation consents in writing to the selection of an alternative forum, the federal district courts of the United States of America, to the fullest extent permitted by law, shall be the sole and exclusive forum for the resolution of any action asserting a cause of action arising under the Securities Act of 1933, as amended. Failure to comply with the foregoing provisions would cause the Corporation irreparable harm and the Corporation shall be entitled to equitable relief, including injunctive relief and specific performance, to enforce the foregoing provisions. If any provision or provisions of this Article IX shall be held to be invalid, illegal or unenforceable for any reason whatsoever, the validity, legality and enforceability of the remaining provisions of this Article IX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13192</Words>
  <Characters>67079</Characters>
  <CharactersWithSpaces>80752</CharactersWithSpaces>
  <Paragraphs>789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